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A019" w14:textId="7A0AEE99" w:rsidR="00591265" w:rsidRPr="004B5B1D" w:rsidRDefault="00591265" w:rsidP="002743A5">
      <w:pPr>
        <w:spacing w:before="100" w:beforeAutospacing="1" w:after="100" w:afterAutospacing="1"/>
        <w:jc w:val="center"/>
        <w:rPr>
          <w:rFonts w:ascii="Times New Roman" w:eastAsia="Times New Roman" w:hAnsi="Times New Roman" w:cs="Times New Roman"/>
        </w:rPr>
      </w:pPr>
      <w:r w:rsidRPr="004B5B1D">
        <w:rPr>
          <w:rFonts w:ascii="Times New Roman" w:eastAsia="Times New Roman" w:hAnsi="Times New Roman" w:cs="Times New Roman"/>
          <w:b/>
          <w:bCs/>
        </w:rPr>
        <w:t>THE CROWN COURT OF CANADA</w:t>
      </w:r>
      <w:r w:rsidRPr="004B5B1D">
        <w:rPr>
          <w:rFonts w:ascii="Times New Roman" w:eastAsia="Times New Roman" w:hAnsi="Times New Roman" w:cs="Times New Roman"/>
        </w:rPr>
        <w:t> </w:t>
      </w:r>
    </w:p>
    <w:p w14:paraId="0A712187" w14:textId="10705A0C" w:rsidR="00591265" w:rsidRDefault="00591265" w:rsidP="002743A5">
      <w:pPr>
        <w:spacing w:before="100" w:beforeAutospacing="1" w:after="100" w:afterAutospacing="1"/>
        <w:jc w:val="center"/>
        <w:rPr>
          <w:rFonts w:ascii="Times New Roman" w:eastAsia="Times New Roman" w:hAnsi="Times New Roman" w:cs="Times New Roman"/>
          <w:b/>
          <w:bCs/>
        </w:rPr>
      </w:pPr>
      <w:r w:rsidRPr="004B5B1D">
        <w:rPr>
          <w:rFonts w:ascii="Times New Roman" w:eastAsia="Times New Roman" w:hAnsi="Times New Roman" w:cs="Times New Roman"/>
          <w:b/>
          <w:bCs/>
        </w:rPr>
        <w:t>(ON APPEAL FROM THE FEDERAL COURT OF CANADA)</w:t>
      </w:r>
    </w:p>
    <w:p w14:paraId="413B3894" w14:textId="77777777" w:rsidR="00DD7086" w:rsidRPr="004B5B1D" w:rsidRDefault="00DD7086" w:rsidP="002743A5">
      <w:pPr>
        <w:spacing w:before="100" w:beforeAutospacing="1" w:after="100" w:afterAutospacing="1"/>
        <w:jc w:val="center"/>
        <w:rPr>
          <w:rFonts w:ascii="Times New Roman" w:eastAsia="Times New Roman" w:hAnsi="Times New Roman" w:cs="Times New Roman"/>
        </w:rPr>
      </w:pPr>
    </w:p>
    <w:p w14:paraId="444BFD1C" w14:textId="17F664C7" w:rsidR="00591265" w:rsidRDefault="00591265" w:rsidP="002743A5">
      <w:pPr>
        <w:spacing w:before="100" w:beforeAutospacing="1" w:after="100" w:afterAutospacing="1"/>
        <w:rPr>
          <w:rFonts w:ascii="Times New Roman" w:eastAsia="Times New Roman" w:hAnsi="Times New Roman" w:cs="Times New Roman"/>
        </w:rPr>
      </w:pPr>
      <w:r w:rsidRPr="004B5B1D">
        <w:rPr>
          <w:rFonts w:ascii="Times New Roman" w:eastAsia="Times New Roman" w:hAnsi="Times New Roman" w:cs="Times New Roman"/>
        </w:rPr>
        <w:t xml:space="preserve"> B E T W E </w:t>
      </w:r>
      <w:proofErr w:type="spellStart"/>
      <w:r w:rsidRPr="004B5B1D">
        <w:rPr>
          <w:rFonts w:ascii="Times New Roman" w:eastAsia="Times New Roman" w:hAnsi="Times New Roman" w:cs="Times New Roman"/>
        </w:rPr>
        <w:t>E</w:t>
      </w:r>
      <w:proofErr w:type="spellEnd"/>
      <w:r w:rsidRPr="004B5B1D">
        <w:rPr>
          <w:rFonts w:ascii="Times New Roman" w:eastAsia="Times New Roman" w:hAnsi="Times New Roman" w:cs="Times New Roman"/>
        </w:rPr>
        <w:t xml:space="preserve"> N:</w:t>
      </w:r>
    </w:p>
    <w:p w14:paraId="6284E60E" w14:textId="77777777" w:rsidR="00DD7086" w:rsidRPr="004B5B1D" w:rsidRDefault="00DD7086" w:rsidP="002743A5">
      <w:pPr>
        <w:spacing w:before="100" w:beforeAutospacing="1" w:after="100" w:afterAutospacing="1"/>
        <w:rPr>
          <w:rFonts w:ascii="Times New Roman" w:eastAsia="Times New Roman" w:hAnsi="Times New Roman" w:cs="Times New Roman"/>
        </w:rPr>
      </w:pPr>
    </w:p>
    <w:p w14:paraId="653E00E3" w14:textId="1F7A9708" w:rsidR="002743A5" w:rsidRDefault="00591265" w:rsidP="002743A5">
      <w:pPr>
        <w:spacing w:before="100" w:beforeAutospacing="1" w:after="100" w:afterAutospacing="1"/>
        <w:jc w:val="center"/>
        <w:rPr>
          <w:rFonts w:ascii="Times New Roman" w:eastAsia="Times New Roman" w:hAnsi="Times New Roman" w:cs="Times New Roman"/>
          <w:b/>
          <w:bCs/>
        </w:rPr>
      </w:pPr>
      <w:r w:rsidRPr="004B5B1D">
        <w:rPr>
          <w:rFonts w:ascii="Times New Roman" w:eastAsia="Times New Roman" w:hAnsi="Times New Roman" w:cs="Times New Roman"/>
          <w:b/>
          <w:bCs/>
        </w:rPr>
        <w:t>THE MINISTER OF CITIZENSHIP AND IMMIGRATION</w:t>
      </w:r>
    </w:p>
    <w:p w14:paraId="3D00CF9E" w14:textId="77777777" w:rsidR="00DD7086" w:rsidRPr="004B5B1D" w:rsidRDefault="00DD7086" w:rsidP="002743A5">
      <w:pPr>
        <w:spacing w:before="100" w:beforeAutospacing="1" w:after="100" w:afterAutospacing="1"/>
        <w:jc w:val="center"/>
        <w:rPr>
          <w:rFonts w:ascii="Times New Roman" w:eastAsia="Times New Roman" w:hAnsi="Times New Roman" w:cs="Times New Roman"/>
          <w:b/>
          <w:bCs/>
        </w:rPr>
      </w:pPr>
    </w:p>
    <w:p w14:paraId="11280E00" w14:textId="4D3CA8D2" w:rsidR="00DD7086" w:rsidRPr="00DD7086" w:rsidRDefault="00591265" w:rsidP="00DD7086">
      <w:pPr>
        <w:spacing w:before="100" w:beforeAutospacing="1" w:after="100" w:afterAutospacing="1"/>
        <w:jc w:val="right"/>
        <w:rPr>
          <w:rFonts w:ascii="Times New Roman" w:eastAsia="Times New Roman" w:hAnsi="Times New Roman" w:cs="Times New Roman"/>
          <w:b/>
          <w:bCs/>
        </w:rPr>
      </w:pPr>
      <w:r w:rsidRPr="004B5B1D">
        <w:rPr>
          <w:rFonts w:ascii="Times New Roman" w:eastAsia="Times New Roman" w:hAnsi="Times New Roman" w:cs="Times New Roman"/>
          <w:b/>
          <w:bCs/>
        </w:rPr>
        <w:t xml:space="preserve"> APPELLANT</w:t>
      </w:r>
    </w:p>
    <w:p w14:paraId="1E3C069D" w14:textId="30539280" w:rsidR="00591265" w:rsidRDefault="00591265" w:rsidP="002743A5">
      <w:pPr>
        <w:spacing w:before="100" w:beforeAutospacing="1" w:after="100" w:afterAutospacing="1"/>
        <w:jc w:val="center"/>
        <w:rPr>
          <w:rFonts w:ascii="Times New Roman" w:eastAsia="Times New Roman" w:hAnsi="Times New Roman" w:cs="Times New Roman"/>
        </w:rPr>
      </w:pPr>
      <w:r w:rsidRPr="004B5B1D">
        <w:rPr>
          <w:rFonts w:ascii="Times New Roman" w:eastAsia="Times New Roman" w:hAnsi="Times New Roman" w:cs="Times New Roman"/>
        </w:rPr>
        <w:t>and</w:t>
      </w:r>
    </w:p>
    <w:p w14:paraId="5492540B" w14:textId="77777777" w:rsidR="00DD7086" w:rsidRPr="004B5B1D" w:rsidRDefault="00DD7086" w:rsidP="002743A5">
      <w:pPr>
        <w:spacing w:before="100" w:beforeAutospacing="1" w:after="100" w:afterAutospacing="1"/>
        <w:jc w:val="center"/>
        <w:rPr>
          <w:rFonts w:ascii="Times New Roman" w:eastAsia="Times New Roman" w:hAnsi="Times New Roman" w:cs="Times New Roman"/>
          <w:b/>
          <w:bCs/>
        </w:rPr>
      </w:pPr>
    </w:p>
    <w:p w14:paraId="56737355" w14:textId="4FD11C66" w:rsidR="00591265" w:rsidRPr="004B5B1D" w:rsidRDefault="00591265" w:rsidP="002743A5">
      <w:pPr>
        <w:spacing w:before="100" w:beforeAutospacing="1" w:after="100" w:afterAutospacing="1"/>
        <w:jc w:val="center"/>
        <w:rPr>
          <w:rFonts w:ascii="Times New Roman" w:eastAsia="Times New Roman" w:hAnsi="Times New Roman" w:cs="Times New Roman"/>
          <w:b/>
          <w:bCs/>
        </w:rPr>
      </w:pPr>
      <w:r w:rsidRPr="004B5B1D">
        <w:rPr>
          <w:rFonts w:ascii="Times New Roman" w:eastAsia="Times New Roman" w:hAnsi="Times New Roman" w:cs="Times New Roman"/>
          <w:b/>
          <w:bCs/>
        </w:rPr>
        <w:t>ISABELLA BARBOSA REIS, a.k.a. ISABELLA SANTOS REIS</w:t>
      </w:r>
    </w:p>
    <w:p w14:paraId="243B5796" w14:textId="201A8A7E" w:rsidR="00591265" w:rsidRPr="004B5B1D" w:rsidRDefault="00591265" w:rsidP="002743A5">
      <w:pPr>
        <w:spacing w:before="100" w:beforeAutospacing="1" w:after="100" w:afterAutospacing="1"/>
        <w:jc w:val="center"/>
        <w:rPr>
          <w:rFonts w:ascii="Times New Roman" w:eastAsia="Times New Roman" w:hAnsi="Times New Roman" w:cs="Times New Roman"/>
          <w:b/>
          <w:bCs/>
        </w:rPr>
      </w:pPr>
      <w:r w:rsidRPr="004B5B1D">
        <w:rPr>
          <w:rFonts w:ascii="Times New Roman" w:eastAsia="Times New Roman" w:hAnsi="Times New Roman" w:cs="Times New Roman"/>
          <w:b/>
          <w:bCs/>
        </w:rPr>
        <w:t>PEDRO REIS BARBOSA, by his litigation guardian, Angelique Charles</w:t>
      </w:r>
    </w:p>
    <w:p w14:paraId="353FC87C" w14:textId="2B255FF9" w:rsidR="00591265" w:rsidRDefault="00591265" w:rsidP="002743A5">
      <w:pPr>
        <w:spacing w:before="100" w:beforeAutospacing="1" w:after="100" w:afterAutospacing="1"/>
        <w:jc w:val="center"/>
        <w:rPr>
          <w:rFonts w:ascii="Times New Roman" w:eastAsia="Times New Roman" w:hAnsi="Times New Roman" w:cs="Times New Roman"/>
          <w:b/>
          <w:bCs/>
        </w:rPr>
      </w:pPr>
      <w:r w:rsidRPr="004B5B1D">
        <w:rPr>
          <w:rFonts w:ascii="Times New Roman" w:eastAsia="Times New Roman" w:hAnsi="Times New Roman" w:cs="Times New Roman"/>
          <w:b/>
          <w:bCs/>
        </w:rPr>
        <w:t>ALANDRA REIS BARBOSA, by her litigation guardian, Angelique Charles</w:t>
      </w:r>
    </w:p>
    <w:p w14:paraId="53DFAB92" w14:textId="77777777" w:rsidR="00DD7086" w:rsidRPr="004B5B1D" w:rsidRDefault="00DD7086" w:rsidP="002743A5">
      <w:pPr>
        <w:spacing w:before="100" w:beforeAutospacing="1" w:after="100" w:afterAutospacing="1"/>
        <w:jc w:val="center"/>
        <w:rPr>
          <w:rFonts w:ascii="Times New Roman" w:eastAsia="Times New Roman" w:hAnsi="Times New Roman" w:cs="Times New Roman"/>
          <w:b/>
          <w:bCs/>
        </w:rPr>
      </w:pPr>
    </w:p>
    <w:p w14:paraId="75D3A0DA" w14:textId="684BE7C8" w:rsidR="00980EF9" w:rsidRPr="004B5B1D" w:rsidRDefault="00980EF9" w:rsidP="00980EF9">
      <w:pPr>
        <w:spacing w:before="100" w:beforeAutospacing="1" w:after="100" w:afterAutospacing="1"/>
        <w:jc w:val="right"/>
        <w:rPr>
          <w:rFonts w:ascii="Times New Roman" w:eastAsia="Times New Roman" w:hAnsi="Times New Roman" w:cs="Times New Roman"/>
          <w:b/>
          <w:bCs/>
        </w:rPr>
      </w:pPr>
      <w:r w:rsidRPr="004B5B1D">
        <w:rPr>
          <w:rFonts w:ascii="Times New Roman" w:eastAsia="Times New Roman" w:hAnsi="Times New Roman" w:cs="Times New Roman"/>
          <w:b/>
          <w:bCs/>
        </w:rPr>
        <w:t>RESPONDENTS</w:t>
      </w:r>
    </w:p>
    <w:p w14:paraId="32C53610" w14:textId="77777777" w:rsidR="00DD7086" w:rsidRDefault="00DD7086" w:rsidP="00F06B03">
      <w:pPr>
        <w:spacing w:before="100" w:beforeAutospacing="1" w:after="100" w:afterAutospacing="1"/>
        <w:jc w:val="center"/>
        <w:rPr>
          <w:rFonts w:ascii="Times New Roman" w:eastAsia="Times New Roman" w:hAnsi="Times New Roman" w:cs="Times New Roman"/>
          <w:b/>
          <w:bCs/>
        </w:rPr>
      </w:pPr>
    </w:p>
    <w:p w14:paraId="7A807BA8" w14:textId="46C5F141" w:rsidR="00697B43" w:rsidRPr="004B5B1D" w:rsidRDefault="00591265" w:rsidP="00F06B03">
      <w:pPr>
        <w:spacing w:before="100" w:beforeAutospacing="1" w:after="100" w:afterAutospacing="1"/>
        <w:jc w:val="center"/>
        <w:rPr>
          <w:rFonts w:ascii="Times New Roman" w:eastAsia="Times New Roman" w:hAnsi="Times New Roman" w:cs="Times New Roman"/>
        </w:rPr>
      </w:pPr>
      <w:r w:rsidRPr="004B5B1D">
        <w:rPr>
          <w:rFonts w:ascii="Times New Roman" w:eastAsia="Times New Roman" w:hAnsi="Times New Roman" w:cs="Times New Roman"/>
          <w:b/>
          <w:bCs/>
        </w:rPr>
        <w:t>FACTUM OF THE RESPONDENT</w:t>
      </w:r>
    </w:p>
    <w:p w14:paraId="67EB871E" w14:textId="52B7C96C" w:rsidR="008E0F7F" w:rsidRDefault="008E0F7F" w:rsidP="00251A57">
      <w:pPr>
        <w:spacing w:before="100" w:beforeAutospacing="1" w:after="100" w:afterAutospacing="1" w:line="480" w:lineRule="auto"/>
        <w:jc w:val="center"/>
        <w:rPr>
          <w:rFonts w:ascii="Times New Roman" w:eastAsia="Times New Roman" w:hAnsi="Times New Roman" w:cs="Times New Roman"/>
          <w:b/>
          <w:bCs/>
        </w:rPr>
      </w:pPr>
    </w:p>
    <w:p w14:paraId="3CC35ED8" w14:textId="77777777" w:rsidR="00DD7086" w:rsidRDefault="00DD7086" w:rsidP="005F71ED">
      <w:pPr>
        <w:spacing w:line="276" w:lineRule="auto"/>
        <w:jc w:val="center"/>
        <w:rPr>
          <w:rFonts w:ascii="Times New Roman" w:eastAsia="Times New Roman" w:hAnsi="Times New Roman" w:cs="Times New Roman"/>
        </w:rPr>
      </w:pPr>
      <w:r w:rsidRPr="00DD7086">
        <w:rPr>
          <w:rFonts w:ascii="Times New Roman" w:eastAsia="Times New Roman" w:hAnsi="Times New Roman" w:cs="Times New Roman"/>
        </w:rPr>
        <w:t>50R</w:t>
      </w:r>
    </w:p>
    <w:p w14:paraId="130C040E" w14:textId="2BEFACFF" w:rsidR="00DD7086" w:rsidRDefault="00DD7086" w:rsidP="005F71ED">
      <w:pPr>
        <w:spacing w:line="276" w:lineRule="auto"/>
        <w:jc w:val="center"/>
        <w:rPr>
          <w:rFonts w:ascii="Times New Roman" w:eastAsia="Times New Roman" w:hAnsi="Times New Roman" w:cs="Times New Roman"/>
        </w:rPr>
      </w:pPr>
      <w:r w:rsidRPr="00DD7086">
        <w:rPr>
          <w:rFonts w:ascii="Times New Roman" w:eastAsia="Times New Roman" w:hAnsi="Times New Roman" w:cs="Times New Roman"/>
        </w:rPr>
        <w:t>Counsel of the Respondent</w:t>
      </w:r>
    </w:p>
    <w:p w14:paraId="24CC85A9" w14:textId="55306D43" w:rsidR="00DD7086" w:rsidRDefault="00DD7086" w:rsidP="00DD7086">
      <w:pPr>
        <w:jc w:val="center"/>
        <w:rPr>
          <w:rFonts w:ascii="Times New Roman" w:eastAsia="Times New Roman" w:hAnsi="Times New Roman" w:cs="Times New Roman"/>
        </w:rPr>
      </w:pPr>
    </w:p>
    <w:p w14:paraId="3DDC82C3" w14:textId="4F9145B6" w:rsidR="00DD7086" w:rsidRDefault="00DD7086" w:rsidP="00DD7086">
      <w:pPr>
        <w:jc w:val="center"/>
        <w:rPr>
          <w:rFonts w:ascii="Times New Roman" w:eastAsia="Times New Roman" w:hAnsi="Times New Roman" w:cs="Times New Roman"/>
        </w:rPr>
      </w:pPr>
    </w:p>
    <w:p w14:paraId="132C2CEA" w14:textId="20C3BFA9" w:rsidR="00DD7086" w:rsidRDefault="00DD7086" w:rsidP="00DD7086">
      <w:pPr>
        <w:jc w:val="center"/>
        <w:rPr>
          <w:rFonts w:ascii="Times New Roman" w:eastAsia="Times New Roman" w:hAnsi="Times New Roman" w:cs="Times New Roman"/>
        </w:rPr>
      </w:pPr>
    </w:p>
    <w:p w14:paraId="109C8825" w14:textId="601FAD6F" w:rsidR="00DD7086" w:rsidRDefault="00DD7086" w:rsidP="00DD7086">
      <w:pPr>
        <w:jc w:val="center"/>
        <w:rPr>
          <w:rFonts w:ascii="Times New Roman" w:eastAsia="Times New Roman" w:hAnsi="Times New Roman" w:cs="Times New Roman"/>
        </w:rPr>
      </w:pPr>
    </w:p>
    <w:p w14:paraId="3A4D6BCB" w14:textId="472D16E0" w:rsidR="00DD7086" w:rsidRDefault="00DD7086" w:rsidP="00DD7086">
      <w:pPr>
        <w:jc w:val="center"/>
        <w:rPr>
          <w:rFonts w:ascii="Times New Roman" w:eastAsia="Times New Roman" w:hAnsi="Times New Roman" w:cs="Times New Roman"/>
        </w:rPr>
      </w:pPr>
    </w:p>
    <w:p w14:paraId="27D357D5" w14:textId="77777777" w:rsidR="00DD7086" w:rsidRPr="00DD7086" w:rsidRDefault="00DD7086" w:rsidP="00DD7086">
      <w:pPr>
        <w:jc w:val="center"/>
        <w:rPr>
          <w:rFonts w:ascii="Times New Roman" w:eastAsia="Times New Roman" w:hAnsi="Times New Roman" w:cs="Times New Roman"/>
        </w:rPr>
      </w:pPr>
    </w:p>
    <w:p w14:paraId="65CFBCC4" w14:textId="65DCEFE1" w:rsidR="00697B43" w:rsidRPr="004B5B1D" w:rsidRDefault="00697B43" w:rsidP="00251A57">
      <w:pPr>
        <w:spacing w:before="100" w:beforeAutospacing="1" w:after="100" w:afterAutospacing="1" w:line="480" w:lineRule="auto"/>
        <w:jc w:val="center"/>
        <w:rPr>
          <w:rFonts w:ascii="Times New Roman" w:eastAsia="Times New Roman" w:hAnsi="Times New Roman" w:cs="Times New Roman"/>
          <w:b/>
          <w:bCs/>
        </w:rPr>
      </w:pPr>
      <w:r w:rsidRPr="004B5B1D">
        <w:rPr>
          <w:rFonts w:ascii="Times New Roman" w:eastAsia="Times New Roman" w:hAnsi="Times New Roman" w:cs="Times New Roman"/>
          <w:b/>
          <w:bCs/>
        </w:rPr>
        <w:lastRenderedPageBreak/>
        <w:t>OVERVIEW</w:t>
      </w:r>
    </w:p>
    <w:p w14:paraId="25E9D8DB" w14:textId="6A12E648" w:rsidR="00F95428" w:rsidRPr="004B5B1D" w:rsidRDefault="00342BFD" w:rsidP="0099454C">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b/>
          <w:bCs/>
        </w:rPr>
      </w:pPr>
      <w:r w:rsidRPr="004B5B1D">
        <w:rPr>
          <w:rFonts w:ascii="Times New Roman" w:eastAsia="Times New Roman" w:hAnsi="Times New Roman" w:cs="Times New Roman"/>
        </w:rPr>
        <w:t>Refugee claimants</w:t>
      </w:r>
      <w:r w:rsidR="00786E27" w:rsidRPr="004B5B1D">
        <w:rPr>
          <w:rFonts w:ascii="Times New Roman" w:eastAsia="Times New Roman" w:hAnsi="Times New Roman" w:cs="Times New Roman"/>
        </w:rPr>
        <w:t xml:space="preserve"> face the difficult task of establishing essential elements of </w:t>
      </w:r>
      <w:r w:rsidRPr="004B5B1D">
        <w:rPr>
          <w:rFonts w:ascii="Times New Roman" w:eastAsia="Times New Roman" w:hAnsi="Times New Roman" w:cs="Times New Roman"/>
        </w:rPr>
        <w:t xml:space="preserve">their </w:t>
      </w:r>
      <w:r w:rsidR="00786E27" w:rsidRPr="004B5B1D">
        <w:rPr>
          <w:rFonts w:ascii="Times New Roman" w:eastAsia="Times New Roman" w:hAnsi="Times New Roman" w:cs="Times New Roman"/>
        </w:rPr>
        <w:t xml:space="preserve">claim for protection. </w:t>
      </w:r>
      <w:r w:rsidR="008E0F7F" w:rsidRPr="004B5B1D">
        <w:rPr>
          <w:rFonts w:ascii="Times New Roman" w:eastAsia="Times New Roman" w:hAnsi="Times New Roman" w:cs="Times New Roman"/>
        </w:rPr>
        <w:t>In p</w:t>
      </w:r>
      <w:r w:rsidR="00F95428" w:rsidRPr="004B5B1D">
        <w:rPr>
          <w:rFonts w:ascii="Times New Roman" w:eastAsia="Times New Roman" w:hAnsi="Times New Roman" w:cs="Times New Roman"/>
        </w:rPr>
        <w:t>articular</w:t>
      </w:r>
      <w:r w:rsidR="008E0F7F" w:rsidRPr="004B5B1D">
        <w:rPr>
          <w:rFonts w:ascii="Times New Roman" w:eastAsia="Times New Roman" w:hAnsi="Times New Roman" w:cs="Times New Roman"/>
        </w:rPr>
        <w:t>,</w:t>
      </w:r>
      <w:r w:rsidR="00F95428" w:rsidRPr="004B5B1D">
        <w:rPr>
          <w:rFonts w:ascii="Times New Roman" w:eastAsia="Times New Roman" w:hAnsi="Times New Roman" w:cs="Times New Roman"/>
        </w:rPr>
        <w:t xml:space="preserve"> </w:t>
      </w:r>
      <w:r w:rsidR="00C42A4F" w:rsidRPr="004B5B1D">
        <w:rPr>
          <w:rFonts w:ascii="Times New Roman" w:eastAsia="Times New Roman" w:hAnsi="Times New Roman" w:cs="Times New Roman"/>
        </w:rPr>
        <w:t>claimants that are women</w:t>
      </w:r>
      <w:r w:rsidR="008E0F7F" w:rsidRPr="004B5B1D">
        <w:rPr>
          <w:rFonts w:ascii="Times New Roman" w:eastAsia="Times New Roman" w:hAnsi="Times New Roman" w:cs="Times New Roman"/>
        </w:rPr>
        <w:t xml:space="preserve"> </w:t>
      </w:r>
      <w:r w:rsidR="00F95428" w:rsidRPr="004B5B1D">
        <w:rPr>
          <w:rFonts w:ascii="Times New Roman" w:eastAsia="Times New Roman" w:hAnsi="Times New Roman" w:cs="Times New Roman"/>
        </w:rPr>
        <w:t xml:space="preserve">may have suffered </w:t>
      </w:r>
      <w:r w:rsidR="00840B92" w:rsidRPr="004B5B1D">
        <w:rPr>
          <w:rFonts w:ascii="Times New Roman" w:eastAsia="Times New Roman" w:hAnsi="Times New Roman" w:cs="Times New Roman"/>
        </w:rPr>
        <w:t>intimate partner</w:t>
      </w:r>
      <w:r w:rsidR="00F95428" w:rsidRPr="004B5B1D">
        <w:rPr>
          <w:rFonts w:ascii="Times New Roman" w:eastAsia="Times New Roman" w:hAnsi="Times New Roman" w:cs="Times New Roman"/>
        </w:rPr>
        <w:t xml:space="preserve"> violence</w:t>
      </w:r>
      <w:r w:rsidR="00B3563E" w:rsidRPr="004B5B1D">
        <w:rPr>
          <w:rFonts w:ascii="Times New Roman" w:eastAsia="Times New Roman" w:hAnsi="Times New Roman" w:cs="Times New Roman"/>
        </w:rPr>
        <w:t xml:space="preserve"> </w:t>
      </w:r>
      <w:r w:rsidR="00840B92" w:rsidRPr="004B5B1D">
        <w:rPr>
          <w:rFonts w:ascii="Times New Roman" w:eastAsia="Times New Roman" w:hAnsi="Times New Roman" w:cs="Times New Roman"/>
        </w:rPr>
        <w:t xml:space="preserve">and other </w:t>
      </w:r>
      <w:r w:rsidR="009A4AFF" w:rsidRPr="004B5B1D">
        <w:rPr>
          <w:rFonts w:ascii="Times New Roman" w:eastAsia="Times New Roman" w:hAnsi="Times New Roman" w:cs="Times New Roman"/>
        </w:rPr>
        <w:t xml:space="preserve">circumstances of </w:t>
      </w:r>
      <w:r w:rsidR="00840B92" w:rsidRPr="004B5B1D">
        <w:rPr>
          <w:rFonts w:ascii="Times New Roman" w:eastAsia="Times New Roman" w:hAnsi="Times New Roman" w:cs="Times New Roman"/>
        </w:rPr>
        <w:t>extreme hardship</w:t>
      </w:r>
      <w:r w:rsidR="009A4AFF" w:rsidRPr="004B5B1D">
        <w:rPr>
          <w:rFonts w:ascii="Times New Roman" w:eastAsia="Times New Roman" w:hAnsi="Times New Roman" w:cs="Times New Roman"/>
        </w:rPr>
        <w:t>,</w:t>
      </w:r>
      <w:r w:rsidR="00F95428" w:rsidRPr="004B5B1D">
        <w:rPr>
          <w:rFonts w:ascii="Times New Roman" w:eastAsia="Times New Roman" w:hAnsi="Times New Roman" w:cs="Times New Roman"/>
        </w:rPr>
        <w:t xml:space="preserve"> prior to their arrival in Canada. </w:t>
      </w:r>
      <w:r w:rsidR="0056250D" w:rsidRPr="004B5B1D">
        <w:rPr>
          <w:rFonts w:ascii="Times New Roman" w:eastAsia="Times New Roman" w:hAnsi="Times New Roman" w:cs="Times New Roman"/>
        </w:rPr>
        <w:t xml:space="preserve">As a result of their troubled </w:t>
      </w:r>
      <w:r w:rsidR="00CE604C" w:rsidRPr="004B5B1D">
        <w:rPr>
          <w:rFonts w:ascii="Times New Roman" w:eastAsia="Times New Roman" w:hAnsi="Times New Roman" w:cs="Times New Roman"/>
        </w:rPr>
        <w:t xml:space="preserve">immigration and </w:t>
      </w:r>
      <w:r w:rsidR="0056250D" w:rsidRPr="004B5B1D">
        <w:rPr>
          <w:rFonts w:ascii="Times New Roman" w:eastAsia="Times New Roman" w:hAnsi="Times New Roman" w:cs="Times New Roman"/>
        </w:rPr>
        <w:t xml:space="preserve">personal </w:t>
      </w:r>
      <w:r w:rsidR="0083026C" w:rsidRPr="004B5B1D">
        <w:rPr>
          <w:rFonts w:ascii="Times New Roman" w:eastAsia="Times New Roman" w:hAnsi="Times New Roman" w:cs="Times New Roman"/>
        </w:rPr>
        <w:t>experiences</w:t>
      </w:r>
      <w:r w:rsidR="0056250D" w:rsidRPr="004B5B1D">
        <w:rPr>
          <w:rFonts w:ascii="Times New Roman" w:eastAsia="Times New Roman" w:hAnsi="Times New Roman" w:cs="Times New Roman"/>
        </w:rPr>
        <w:t xml:space="preserve">, </w:t>
      </w:r>
      <w:r w:rsidR="0065086D" w:rsidRPr="004B5B1D">
        <w:rPr>
          <w:rFonts w:ascii="Times New Roman" w:eastAsia="Times New Roman" w:hAnsi="Times New Roman" w:cs="Times New Roman"/>
        </w:rPr>
        <w:t xml:space="preserve">many </w:t>
      </w:r>
      <w:r w:rsidR="0056250D" w:rsidRPr="004B5B1D">
        <w:rPr>
          <w:rFonts w:ascii="Times New Roman" w:eastAsia="Times New Roman" w:hAnsi="Times New Roman" w:cs="Times New Roman"/>
        </w:rPr>
        <w:t>refugee claimants struggle to manage</w:t>
      </w:r>
      <w:r w:rsidR="0018092D" w:rsidRPr="004B5B1D">
        <w:rPr>
          <w:rFonts w:ascii="Times New Roman" w:eastAsia="Times New Roman" w:hAnsi="Times New Roman" w:cs="Times New Roman"/>
        </w:rPr>
        <w:t xml:space="preserve"> the overwhelming and ongoing effects of</w:t>
      </w:r>
      <w:r w:rsidR="0056250D" w:rsidRPr="004B5B1D">
        <w:rPr>
          <w:rFonts w:ascii="Times New Roman" w:eastAsia="Times New Roman" w:hAnsi="Times New Roman" w:cs="Times New Roman"/>
        </w:rPr>
        <w:t xml:space="preserve"> abuse-related trauma.</w:t>
      </w:r>
      <w:r w:rsidR="00D64412" w:rsidRPr="004B5B1D">
        <w:rPr>
          <w:rFonts w:ascii="Times New Roman" w:eastAsia="Times New Roman" w:hAnsi="Times New Roman" w:cs="Times New Roman"/>
        </w:rPr>
        <w:t xml:space="preserve"> </w:t>
      </w:r>
      <w:r w:rsidR="00D04289" w:rsidRPr="004B5B1D">
        <w:rPr>
          <w:rFonts w:ascii="Times New Roman" w:eastAsia="Times New Roman" w:hAnsi="Times New Roman" w:cs="Times New Roman"/>
        </w:rPr>
        <w:t xml:space="preserve">When survivors </w:t>
      </w:r>
      <w:r w:rsidR="004E4F54" w:rsidRPr="004B5B1D">
        <w:rPr>
          <w:rFonts w:ascii="Times New Roman" w:eastAsia="Times New Roman" w:hAnsi="Times New Roman" w:cs="Times New Roman"/>
        </w:rPr>
        <w:t xml:space="preserve">make the difficult decision to bring </w:t>
      </w:r>
      <w:r w:rsidR="00D04289" w:rsidRPr="004B5B1D">
        <w:rPr>
          <w:rFonts w:ascii="Times New Roman" w:eastAsia="Times New Roman" w:hAnsi="Times New Roman" w:cs="Times New Roman"/>
        </w:rPr>
        <w:t xml:space="preserve">forward their legitimate claims of abuse, </w:t>
      </w:r>
      <w:r w:rsidR="00B934DF" w:rsidRPr="004B5B1D">
        <w:rPr>
          <w:rFonts w:ascii="Times New Roman" w:eastAsia="Times New Roman" w:hAnsi="Times New Roman" w:cs="Times New Roman"/>
        </w:rPr>
        <w:t>they</w:t>
      </w:r>
      <w:r w:rsidR="000A5B00" w:rsidRPr="004B5B1D">
        <w:rPr>
          <w:rFonts w:ascii="Times New Roman" w:eastAsia="Times New Roman" w:hAnsi="Times New Roman" w:cs="Times New Roman"/>
        </w:rPr>
        <w:t xml:space="preserve"> </w:t>
      </w:r>
      <w:r w:rsidR="00B3563E" w:rsidRPr="004B5B1D">
        <w:rPr>
          <w:rFonts w:ascii="Times New Roman" w:eastAsia="Times New Roman" w:hAnsi="Times New Roman" w:cs="Times New Roman"/>
        </w:rPr>
        <w:t>must overcome another hurdle: reporting their</w:t>
      </w:r>
      <w:r w:rsidR="00373245" w:rsidRPr="004B5B1D">
        <w:rPr>
          <w:rFonts w:ascii="Times New Roman" w:eastAsia="Times New Roman" w:hAnsi="Times New Roman" w:cs="Times New Roman"/>
        </w:rPr>
        <w:t xml:space="preserve"> history</w:t>
      </w:r>
      <w:r w:rsidR="00050BAB" w:rsidRPr="004B5B1D">
        <w:rPr>
          <w:rFonts w:ascii="Times New Roman" w:eastAsia="Times New Roman" w:hAnsi="Times New Roman" w:cs="Times New Roman"/>
        </w:rPr>
        <w:t xml:space="preserve"> of abuse to a stranger in the context of a </w:t>
      </w:r>
      <w:r w:rsidR="007A0C65" w:rsidRPr="004B5B1D">
        <w:rPr>
          <w:rFonts w:ascii="Times New Roman" w:eastAsia="Times New Roman" w:hAnsi="Times New Roman" w:cs="Times New Roman"/>
        </w:rPr>
        <w:t>Refugee Protection Division (“</w:t>
      </w:r>
      <w:r w:rsidR="00050BAB" w:rsidRPr="004B5B1D">
        <w:rPr>
          <w:rFonts w:ascii="Times New Roman" w:eastAsia="Times New Roman" w:hAnsi="Times New Roman" w:cs="Times New Roman"/>
        </w:rPr>
        <w:t>RPD</w:t>
      </w:r>
      <w:r w:rsidR="007A0C65" w:rsidRPr="004B5B1D">
        <w:rPr>
          <w:rFonts w:ascii="Times New Roman" w:eastAsia="Times New Roman" w:hAnsi="Times New Roman" w:cs="Times New Roman"/>
        </w:rPr>
        <w:t>”)</w:t>
      </w:r>
      <w:r w:rsidR="00050BAB" w:rsidRPr="004B5B1D">
        <w:rPr>
          <w:rFonts w:ascii="Times New Roman" w:eastAsia="Times New Roman" w:hAnsi="Times New Roman" w:cs="Times New Roman"/>
        </w:rPr>
        <w:t xml:space="preserve"> hearing. </w:t>
      </w:r>
    </w:p>
    <w:p w14:paraId="34BD08AA" w14:textId="67F4A82F" w:rsidR="006E4238" w:rsidRPr="004B5B1D" w:rsidRDefault="00786E27" w:rsidP="0099454C">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b/>
          <w:bCs/>
        </w:rPr>
      </w:pPr>
      <w:r w:rsidRPr="004B5B1D">
        <w:rPr>
          <w:rFonts w:ascii="Times New Roman" w:eastAsia="Times New Roman" w:hAnsi="Times New Roman" w:cs="Times New Roman"/>
        </w:rPr>
        <w:t>To ensure that the refugee claim</w:t>
      </w:r>
      <w:r w:rsidR="00D40FEB" w:rsidRPr="004B5B1D">
        <w:rPr>
          <w:rFonts w:ascii="Times New Roman" w:eastAsia="Times New Roman" w:hAnsi="Times New Roman" w:cs="Times New Roman"/>
        </w:rPr>
        <w:t>s</w:t>
      </w:r>
      <w:r w:rsidRPr="004B5B1D">
        <w:rPr>
          <w:rFonts w:ascii="Times New Roman" w:eastAsia="Times New Roman" w:hAnsi="Times New Roman" w:cs="Times New Roman"/>
        </w:rPr>
        <w:t xml:space="preserve"> </w:t>
      </w:r>
      <w:r w:rsidR="000B44EE" w:rsidRPr="004B5B1D">
        <w:rPr>
          <w:rFonts w:ascii="Times New Roman" w:eastAsia="Times New Roman" w:hAnsi="Times New Roman" w:cs="Times New Roman"/>
        </w:rPr>
        <w:t xml:space="preserve">are </w:t>
      </w:r>
      <w:r w:rsidRPr="004B5B1D">
        <w:rPr>
          <w:rFonts w:ascii="Times New Roman" w:eastAsia="Times New Roman" w:hAnsi="Times New Roman" w:cs="Times New Roman"/>
        </w:rPr>
        <w:t xml:space="preserve">determined fairly and expeditiously, the </w:t>
      </w:r>
      <w:r w:rsidRPr="004B5B1D">
        <w:rPr>
          <w:rFonts w:ascii="Times New Roman" w:eastAsia="Times New Roman" w:hAnsi="Times New Roman" w:cs="Times New Roman"/>
          <w:i/>
          <w:iCs/>
        </w:rPr>
        <w:t>Immigration and Refugee Protection Act</w:t>
      </w:r>
      <w:r w:rsidRPr="004B5B1D">
        <w:rPr>
          <w:rFonts w:ascii="Times New Roman" w:eastAsia="Times New Roman" w:hAnsi="Times New Roman" w:cs="Times New Roman"/>
        </w:rPr>
        <w:t xml:space="preserve"> (“</w:t>
      </w:r>
      <w:r w:rsidR="007E0ACC" w:rsidRPr="004B5B1D">
        <w:rPr>
          <w:rFonts w:ascii="Times New Roman" w:eastAsia="Times New Roman" w:hAnsi="Times New Roman" w:cs="Times New Roman"/>
          <w:i/>
          <w:iCs/>
        </w:rPr>
        <w:t>IRPA</w:t>
      </w:r>
      <w:r w:rsidRPr="004B5B1D">
        <w:rPr>
          <w:rFonts w:ascii="Times New Roman" w:eastAsia="Times New Roman" w:hAnsi="Times New Roman" w:cs="Times New Roman"/>
        </w:rPr>
        <w:t xml:space="preserve">”) provides that the RPD may preside over </w:t>
      </w:r>
      <w:r w:rsidR="00683D6B" w:rsidRPr="004B5B1D">
        <w:rPr>
          <w:rFonts w:ascii="Times New Roman" w:eastAsia="Times New Roman" w:hAnsi="Times New Roman" w:cs="Times New Roman"/>
        </w:rPr>
        <w:t>hearings</w:t>
      </w:r>
      <w:r w:rsidRPr="004B5B1D">
        <w:rPr>
          <w:rFonts w:ascii="Times New Roman" w:eastAsia="Times New Roman" w:hAnsi="Times New Roman" w:cs="Times New Roman"/>
        </w:rPr>
        <w:t xml:space="preserve"> without the formalities of a typical court proceeding.</w:t>
      </w:r>
      <w:r w:rsidR="008E0F7F" w:rsidRPr="004B5B1D">
        <w:rPr>
          <w:rStyle w:val="FootnoteReference"/>
          <w:rFonts w:ascii="Times New Roman" w:eastAsia="Times New Roman" w:hAnsi="Times New Roman" w:cs="Times New Roman"/>
        </w:rPr>
        <w:footnoteReference w:id="1"/>
      </w:r>
      <w:r w:rsidR="008E0F7F" w:rsidRPr="004B5B1D">
        <w:rPr>
          <w:rFonts w:ascii="Times New Roman" w:eastAsia="Times New Roman" w:hAnsi="Times New Roman" w:cs="Times New Roman"/>
        </w:rPr>
        <w:t xml:space="preserve"> </w:t>
      </w:r>
      <w:r w:rsidRPr="004B5B1D">
        <w:rPr>
          <w:rFonts w:ascii="Times New Roman" w:eastAsia="Times New Roman" w:hAnsi="Times New Roman" w:cs="Times New Roman"/>
        </w:rPr>
        <w:t xml:space="preserve"> Such allowances </w:t>
      </w:r>
      <w:r w:rsidR="00683D6B" w:rsidRPr="004B5B1D">
        <w:rPr>
          <w:rFonts w:ascii="Times New Roman" w:eastAsia="Times New Roman" w:hAnsi="Times New Roman" w:cs="Times New Roman"/>
        </w:rPr>
        <w:t>permit</w:t>
      </w:r>
      <w:r w:rsidRPr="004B5B1D">
        <w:rPr>
          <w:rFonts w:ascii="Times New Roman" w:eastAsia="Times New Roman" w:hAnsi="Times New Roman" w:cs="Times New Roman"/>
        </w:rPr>
        <w:t xml:space="preserve"> the RPD to </w:t>
      </w:r>
      <w:r w:rsidR="00683D6B" w:rsidRPr="004B5B1D">
        <w:rPr>
          <w:rFonts w:ascii="Times New Roman" w:eastAsia="Times New Roman" w:hAnsi="Times New Roman" w:cs="Times New Roman"/>
        </w:rPr>
        <w:t>make determinations free from the technical rules of evidence</w:t>
      </w:r>
      <w:r w:rsidR="005340FB" w:rsidRPr="004B5B1D">
        <w:rPr>
          <w:rFonts w:ascii="Times New Roman" w:eastAsia="Times New Roman" w:hAnsi="Times New Roman" w:cs="Times New Roman"/>
        </w:rPr>
        <w:t xml:space="preserve">. The RPD </w:t>
      </w:r>
      <w:r w:rsidR="00C96E7D" w:rsidRPr="004B5B1D">
        <w:rPr>
          <w:rFonts w:ascii="Times New Roman" w:eastAsia="Times New Roman" w:hAnsi="Times New Roman" w:cs="Times New Roman"/>
        </w:rPr>
        <w:t>has statutory authority</w:t>
      </w:r>
      <w:r w:rsidR="00683D6B" w:rsidRPr="004B5B1D">
        <w:rPr>
          <w:rFonts w:ascii="Times New Roman" w:eastAsia="Times New Roman" w:hAnsi="Times New Roman" w:cs="Times New Roman"/>
        </w:rPr>
        <w:t xml:space="preserve"> to receive and consider evidence </w:t>
      </w:r>
      <w:r w:rsidR="00507239" w:rsidRPr="004B5B1D">
        <w:rPr>
          <w:rFonts w:ascii="Times New Roman" w:eastAsia="Times New Roman" w:hAnsi="Times New Roman" w:cs="Times New Roman"/>
        </w:rPr>
        <w:t xml:space="preserve">that is </w:t>
      </w:r>
      <w:r w:rsidR="00683D6B" w:rsidRPr="004B5B1D">
        <w:rPr>
          <w:rFonts w:ascii="Times New Roman" w:eastAsia="Times New Roman" w:hAnsi="Times New Roman" w:cs="Times New Roman"/>
        </w:rPr>
        <w:t xml:space="preserve">credible or trustworthy. RPD members operate in an inquisitorial rather than adversarial process to test evidence </w:t>
      </w:r>
      <w:r w:rsidR="008E0F7F" w:rsidRPr="004B5B1D">
        <w:rPr>
          <w:rFonts w:ascii="Times New Roman" w:eastAsia="Times New Roman" w:hAnsi="Times New Roman" w:cs="Times New Roman"/>
        </w:rPr>
        <w:t>fairly</w:t>
      </w:r>
      <w:r w:rsidR="00A211B5" w:rsidRPr="004B5B1D">
        <w:rPr>
          <w:rFonts w:ascii="Times New Roman" w:eastAsia="Times New Roman" w:hAnsi="Times New Roman" w:cs="Times New Roman"/>
        </w:rPr>
        <w:t xml:space="preserve">. This provides </w:t>
      </w:r>
      <w:r w:rsidR="00683D6B" w:rsidRPr="004B5B1D">
        <w:rPr>
          <w:rFonts w:ascii="Times New Roman" w:eastAsia="Times New Roman" w:hAnsi="Times New Roman" w:cs="Times New Roman"/>
        </w:rPr>
        <w:t xml:space="preserve">the claimant ample opportunity to give a complete and accurate account of their claim.  </w:t>
      </w:r>
    </w:p>
    <w:p w14:paraId="60120672" w14:textId="64A87C91" w:rsidR="00B342B2" w:rsidRPr="004B5B1D" w:rsidRDefault="00B342B2" w:rsidP="0099454C">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b/>
          <w:bCs/>
        </w:rPr>
      </w:pPr>
      <w:r w:rsidRPr="004B5B1D">
        <w:rPr>
          <w:rFonts w:ascii="Times New Roman" w:eastAsia="Times New Roman" w:hAnsi="Times New Roman" w:cs="Times New Roman"/>
        </w:rPr>
        <w:t xml:space="preserve">In the present case, </w:t>
      </w:r>
      <w:r w:rsidR="00AE4856" w:rsidRPr="004B5B1D">
        <w:rPr>
          <w:rFonts w:ascii="Times New Roman" w:eastAsia="Times New Roman" w:hAnsi="Times New Roman" w:cs="Times New Roman"/>
        </w:rPr>
        <w:t>the Respondent</w:t>
      </w:r>
      <w:r w:rsidR="00347A42" w:rsidRPr="004B5B1D">
        <w:rPr>
          <w:rFonts w:ascii="Times New Roman" w:eastAsia="Times New Roman" w:hAnsi="Times New Roman" w:cs="Times New Roman"/>
        </w:rPr>
        <w:t>s</w:t>
      </w:r>
      <w:r w:rsidR="00AE4856" w:rsidRPr="004B5B1D">
        <w:rPr>
          <w:rFonts w:ascii="Times New Roman" w:eastAsia="Times New Roman" w:hAnsi="Times New Roman" w:cs="Times New Roman"/>
        </w:rPr>
        <w:t xml:space="preserve">, Ms. </w:t>
      </w:r>
      <w:r w:rsidR="007C40F2" w:rsidRPr="004B5B1D">
        <w:rPr>
          <w:rFonts w:ascii="Times New Roman" w:eastAsia="Times New Roman" w:hAnsi="Times New Roman" w:cs="Times New Roman"/>
        </w:rPr>
        <w:t xml:space="preserve">Isabella </w:t>
      </w:r>
      <w:r w:rsidR="00AE4856" w:rsidRPr="004B5B1D">
        <w:rPr>
          <w:rFonts w:ascii="Times New Roman" w:eastAsia="Times New Roman" w:hAnsi="Times New Roman" w:cs="Times New Roman"/>
        </w:rPr>
        <w:t>Barbosa Reis</w:t>
      </w:r>
      <w:r w:rsidR="00483B55" w:rsidRPr="004B5B1D">
        <w:rPr>
          <w:rFonts w:ascii="Times New Roman" w:eastAsia="Times New Roman" w:hAnsi="Times New Roman" w:cs="Times New Roman"/>
        </w:rPr>
        <w:t xml:space="preserve"> </w:t>
      </w:r>
      <w:r w:rsidR="0043678E" w:rsidRPr="004B5B1D">
        <w:rPr>
          <w:rFonts w:ascii="Times New Roman" w:eastAsia="Times New Roman" w:hAnsi="Times New Roman" w:cs="Times New Roman"/>
        </w:rPr>
        <w:t xml:space="preserve">and her children, are </w:t>
      </w:r>
      <w:r w:rsidR="00AE4856" w:rsidRPr="004B5B1D">
        <w:rPr>
          <w:rFonts w:ascii="Times New Roman" w:eastAsia="Times New Roman" w:hAnsi="Times New Roman" w:cs="Times New Roman"/>
        </w:rPr>
        <w:t>refugee claimant</w:t>
      </w:r>
      <w:r w:rsidR="00AE223A" w:rsidRPr="004B5B1D">
        <w:rPr>
          <w:rFonts w:ascii="Times New Roman" w:eastAsia="Times New Roman" w:hAnsi="Times New Roman" w:cs="Times New Roman"/>
        </w:rPr>
        <w:t xml:space="preserve">s </w:t>
      </w:r>
      <w:r w:rsidR="00C42A61" w:rsidRPr="004B5B1D">
        <w:rPr>
          <w:rFonts w:ascii="Times New Roman" w:eastAsia="Times New Roman" w:hAnsi="Times New Roman" w:cs="Times New Roman"/>
        </w:rPr>
        <w:t xml:space="preserve">suffering the </w:t>
      </w:r>
      <w:r w:rsidR="008E0F7F" w:rsidRPr="004B5B1D">
        <w:rPr>
          <w:rFonts w:ascii="Times New Roman" w:eastAsia="Times New Roman" w:hAnsi="Times New Roman" w:cs="Times New Roman"/>
        </w:rPr>
        <w:t>ongoing</w:t>
      </w:r>
      <w:r w:rsidR="00C42A61" w:rsidRPr="004B5B1D">
        <w:rPr>
          <w:rFonts w:ascii="Times New Roman" w:eastAsia="Times New Roman" w:hAnsi="Times New Roman" w:cs="Times New Roman"/>
        </w:rPr>
        <w:t xml:space="preserve"> effects of abuse-related trauma. </w:t>
      </w:r>
      <w:r w:rsidR="0036273A" w:rsidRPr="004B5B1D">
        <w:rPr>
          <w:rFonts w:ascii="Times New Roman" w:eastAsia="Times New Roman" w:hAnsi="Times New Roman" w:cs="Times New Roman"/>
        </w:rPr>
        <w:t xml:space="preserve">Having endured years of torment at the hands of </w:t>
      </w:r>
      <w:r w:rsidR="00EE7FD3" w:rsidRPr="004B5B1D">
        <w:rPr>
          <w:rFonts w:ascii="Times New Roman" w:eastAsia="Times New Roman" w:hAnsi="Times New Roman" w:cs="Times New Roman"/>
        </w:rPr>
        <w:t>her husband</w:t>
      </w:r>
      <w:r w:rsidR="0036273A" w:rsidRPr="004B5B1D">
        <w:rPr>
          <w:rFonts w:ascii="Times New Roman" w:eastAsia="Times New Roman" w:hAnsi="Times New Roman" w:cs="Times New Roman"/>
        </w:rPr>
        <w:t>, Ms. Barbosa Reis separate</w:t>
      </w:r>
      <w:r w:rsidR="003A5523" w:rsidRPr="004B5B1D">
        <w:rPr>
          <w:rFonts w:ascii="Times New Roman" w:eastAsia="Times New Roman" w:hAnsi="Times New Roman" w:cs="Times New Roman"/>
        </w:rPr>
        <w:t>d</w:t>
      </w:r>
      <w:r w:rsidR="0036273A" w:rsidRPr="004B5B1D">
        <w:rPr>
          <w:rFonts w:ascii="Times New Roman" w:eastAsia="Times New Roman" w:hAnsi="Times New Roman" w:cs="Times New Roman"/>
        </w:rPr>
        <w:t xml:space="preserve"> her claim and her children’s claim from </w:t>
      </w:r>
      <w:r w:rsidR="00EE340C" w:rsidRPr="004B5B1D">
        <w:rPr>
          <w:rFonts w:ascii="Times New Roman" w:eastAsia="Times New Roman" w:hAnsi="Times New Roman" w:cs="Times New Roman"/>
        </w:rPr>
        <w:t xml:space="preserve">that of </w:t>
      </w:r>
      <w:r w:rsidR="0036273A" w:rsidRPr="004B5B1D">
        <w:rPr>
          <w:rFonts w:ascii="Times New Roman" w:eastAsia="Times New Roman" w:hAnsi="Times New Roman" w:cs="Times New Roman"/>
        </w:rPr>
        <w:t>her abuser</w:t>
      </w:r>
      <w:r w:rsidR="00EE340C" w:rsidRPr="004B5B1D">
        <w:rPr>
          <w:rFonts w:ascii="Times New Roman" w:eastAsia="Times New Roman" w:hAnsi="Times New Roman" w:cs="Times New Roman"/>
        </w:rPr>
        <w:t xml:space="preserve">. </w:t>
      </w:r>
      <w:r w:rsidR="008E0F7F" w:rsidRPr="004B5B1D">
        <w:rPr>
          <w:rFonts w:ascii="Times New Roman" w:eastAsia="Times New Roman" w:hAnsi="Times New Roman" w:cs="Times New Roman"/>
        </w:rPr>
        <w:t>Her</w:t>
      </w:r>
      <w:r w:rsidR="007A6EFB" w:rsidRPr="004B5B1D">
        <w:rPr>
          <w:rFonts w:ascii="Times New Roman" w:eastAsia="Times New Roman" w:hAnsi="Times New Roman" w:cs="Times New Roman"/>
        </w:rPr>
        <w:t xml:space="preserve"> hope </w:t>
      </w:r>
      <w:r w:rsidR="00AC4A6D" w:rsidRPr="004B5B1D">
        <w:rPr>
          <w:rFonts w:ascii="Times New Roman" w:eastAsia="Times New Roman" w:hAnsi="Times New Roman" w:cs="Times New Roman"/>
        </w:rPr>
        <w:t>wa</w:t>
      </w:r>
      <w:r w:rsidR="007A6EFB" w:rsidRPr="004B5B1D">
        <w:rPr>
          <w:rFonts w:ascii="Times New Roman" w:eastAsia="Times New Roman" w:hAnsi="Times New Roman" w:cs="Times New Roman"/>
        </w:rPr>
        <w:t xml:space="preserve">s to be </w:t>
      </w:r>
      <w:r w:rsidR="0036273A" w:rsidRPr="004B5B1D">
        <w:rPr>
          <w:rFonts w:ascii="Times New Roman" w:eastAsia="Times New Roman" w:hAnsi="Times New Roman" w:cs="Times New Roman"/>
        </w:rPr>
        <w:t xml:space="preserve">free from mistreatment, abuse, and the source of trauma. </w:t>
      </w:r>
      <w:r w:rsidR="004629A6" w:rsidRPr="004B5B1D">
        <w:rPr>
          <w:rFonts w:ascii="Times New Roman" w:eastAsia="Times New Roman" w:hAnsi="Times New Roman" w:cs="Times New Roman"/>
        </w:rPr>
        <w:t xml:space="preserve">The expectation </w:t>
      </w:r>
      <w:r w:rsidR="00AC4A6D" w:rsidRPr="004B5B1D">
        <w:rPr>
          <w:rFonts w:ascii="Times New Roman" w:eastAsia="Times New Roman" w:hAnsi="Times New Roman" w:cs="Times New Roman"/>
        </w:rPr>
        <w:t>was</w:t>
      </w:r>
      <w:r w:rsidR="004629A6" w:rsidRPr="004B5B1D">
        <w:rPr>
          <w:rFonts w:ascii="Times New Roman" w:eastAsia="Times New Roman" w:hAnsi="Times New Roman" w:cs="Times New Roman"/>
        </w:rPr>
        <w:t xml:space="preserve"> for a fair hearing. The Respondents however, received neither </w:t>
      </w:r>
      <w:r w:rsidR="000428B8" w:rsidRPr="004B5B1D">
        <w:rPr>
          <w:rFonts w:ascii="Times New Roman" w:eastAsia="Times New Roman" w:hAnsi="Times New Roman" w:cs="Times New Roman"/>
        </w:rPr>
        <w:t xml:space="preserve">a </w:t>
      </w:r>
      <w:r w:rsidR="000428B8" w:rsidRPr="004B5B1D">
        <w:rPr>
          <w:rFonts w:ascii="Times New Roman" w:eastAsia="Times New Roman" w:hAnsi="Times New Roman" w:cs="Times New Roman"/>
        </w:rPr>
        <w:lastRenderedPageBreak/>
        <w:t xml:space="preserve">trauma-informed nor </w:t>
      </w:r>
      <w:r w:rsidR="00CD01BA">
        <w:rPr>
          <w:rFonts w:ascii="Times New Roman" w:eastAsia="Times New Roman" w:hAnsi="Times New Roman" w:cs="Times New Roman"/>
        </w:rPr>
        <w:t xml:space="preserve">a </w:t>
      </w:r>
      <w:r w:rsidR="000428B8" w:rsidRPr="004B5B1D">
        <w:rPr>
          <w:rFonts w:ascii="Times New Roman" w:eastAsia="Times New Roman" w:hAnsi="Times New Roman" w:cs="Times New Roman"/>
        </w:rPr>
        <w:t xml:space="preserve">fair hearing. </w:t>
      </w:r>
      <w:r w:rsidR="00342BFD" w:rsidRPr="004B5B1D">
        <w:rPr>
          <w:rFonts w:ascii="Times New Roman" w:eastAsia="Times New Roman" w:hAnsi="Times New Roman" w:cs="Times New Roman"/>
        </w:rPr>
        <w:t xml:space="preserve">Instead, the RPD </w:t>
      </w:r>
      <w:r w:rsidR="00AD7E42" w:rsidRPr="004B5B1D">
        <w:rPr>
          <w:rFonts w:ascii="Times New Roman" w:eastAsia="Times New Roman" w:hAnsi="Times New Roman" w:cs="Times New Roman"/>
        </w:rPr>
        <w:t xml:space="preserve">proceeded in a manner that </w:t>
      </w:r>
      <w:r w:rsidR="00D93A6B" w:rsidRPr="004B5B1D">
        <w:rPr>
          <w:rFonts w:ascii="Times New Roman" w:eastAsia="Times New Roman" w:hAnsi="Times New Roman" w:cs="Times New Roman"/>
        </w:rPr>
        <w:t xml:space="preserve">increased the risk </w:t>
      </w:r>
      <w:r w:rsidR="008E0F7F" w:rsidRPr="004B5B1D">
        <w:rPr>
          <w:rFonts w:ascii="Times New Roman" w:eastAsia="Times New Roman" w:hAnsi="Times New Roman" w:cs="Times New Roman"/>
        </w:rPr>
        <w:t xml:space="preserve">that </w:t>
      </w:r>
      <w:r w:rsidR="00D93A6B" w:rsidRPr="004B5B1D">
        <w:rPr>
          <w:rFonts w:ascii="Times New Roman" w:eastAsia="Times New Roman" w:hAnsi="Times New Roman" w:cs="Times New Roman"/>
        </w:rPr>
        <w:t>the Respondents would be re-traumatized</w:t>
      </w:r>
      <w:r w:rsidR="00AD7E42" w:rsidRPr="004B5B1D">
        <w:rPr>
          <w:rFonts w:ascii="Times New Roman" w:eastAsia="Times New Roman" w:hAnsi="Times New Roman" w:cs="Times New Roman"/>
        </w:rPr>
        <w:t xml:space="preserve">. </w:t>
      </w:r>
      <w:r w:rsidR="0036273A" w:rsidRPr="004B5B1D">
        <w:rPr>
          <w:rFonts w:ascii="Times New Roman" w:eastAsia="Times New Roman" w:hAnsi="Times New Roman" w:cs="Times New Roman"/>
        </w:rPr>
        <w:t>The RPD</w:t>
      </w:r>
      <w:r w:rsidR="000428B8" w:rsidRPr="004B5B1D">
        <w:rPr>
          <w:rFonts w:ascii="Times New Roman" w:eastAsia="Times New Roman" w:hAnsi="Times New Roman" w:cs="Times New Roman"/>
        </w:rPr>
        <w:t xml:space="preserve"> </w:t>
      </w:r>
      <w:r w:rsidR="00E61F4C" w:rsidRPr="004B5B1D">
        <w:rPr>
          <w:rFonts w:ascii="Times New Roman" w:eastAsia="Times New Roman" w:hAnsi="Times New Roman" w:cs="Times New Roman"/>
        </w:rPr>
        <w:t xml:space="preserve">erroneously </w:t>
      </w:r>
      <w:r w:rsidR="000428B8" w:rsidRPr="004B5B1D">
        <w:rPr>
          <w:rFonts w:ascii="Times New Roman" w:eastAsia="Times New Roman" w:hAnsi="Times New Roman" w:cs="Times New Roman"/>
        </w:rPr>
        <w:t xml:space="preserve">admitted and unreasonably preferred the untested evidence of the agent of persecution. </w:t>
      </w:r>
      <w:r w:rsidR="00AE223A" w:rsidRPr="004B5B1D">
        <w:rPr>
          <w:rFonts w:ascii="Times New Roman" w:eastAsia="Times New Roman" w:hAnsi="Times New Roman" w:cs="Times New Roman"/>
        </w:rPr>
        <w:t xml:space="preserve"> </w:t>
      </w:r>
      <w:r w:rsidR="00E61F4C" w:rsidRPr="004B5B1D">
        <w:rPr>
          <w:rFonts w:ascii="Times New Roman" w:eastAsia="Times New Roman" w:hAnsi="Times New Roman" w:cs="Times New Roman"/>
        </w:rPr>
        <w:t xml:space="preserve">The Respondents, Ms. Barbosa Reis especially, faced the profoundly difficult task of divulging a deeply personal and traumatic period of her life, only to be found </w:t>
      </w:r>
      <w:r w:rsidR="00960500" w:rsidRPr="004B5B1D">
        <w:rPr>
          <w:rFonts w:ascii="Times New Roman" w:eastAsia="Times New Roman" w:hAnsi="Times New Roman" w:cs="Times New Roman"/>
        </w:rPr>
        <w:t>unworthy of belief</w:t>
      </w:r>
      <w:r w:rsidR="00DB59EE" w:rsidRPr="004B5B1D">
        <w:rPr>
          <w:rFonts w:ascii="Times New Roman" w:eastAsia="Times New Roman" w:hAnsi="Times New Roman" w:cs="Times New Roman"/>
        </w:rPr>
        <w:t xml:space="preserve"> despite her </w:t>
      </w:r>
      <w:r w:rsidR="008D0B96" w:rsidRPr="004B5B1D">
        <w:rPr>
          <w:rFonts w:ascii="Times New Roman" w:eastAsia="Times New Roman" w:hAnsi="Times New Roman" w:cs="Times New Roman"/>
        </w:rPr>
        <w:t xml:space="preserve">substantial submissions. </w:t>
      </w:r>
    </w:p>
    <w:p w14:paraId="138712BE" w14:textId="6ADFC01A" w:rsidR="00BD454F" w:rsidRPr="004B5B1D" w:rsidRDefault="00BD454F" w:rsidP="0099454C">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b/>
          <w:bCs/>
        </w:rPr>
      </w:pPr>
      <w:r w:rsidRPr="004B5B1D">
        <w:rPr>
          <w:rFonts w:ascii="Times New Roman" w:eastAsia="Times New Roman" w:hAnsi="Times New Roman" w:cs="Times New Roman"/>
        </w:rPr>
        <w:t xml:space="preserve">The RPD in its decision, accepted and relied on unsolicited information and a transcript </w:t>
      </w:r>
      <w:r w:rsidR="008E0F7F" w:rsidRPr="004B5B1D">
        <w:rPr>
          <w:rFonts w:ascii="Times New Roman" w:eastAsia="Times New Roman" w:hAnsi="Times New Roman" w:cs="Times New Roman"/>
        </w:rPr>
        <w:t xml:space="preserve">from </w:t>
      </w:r>
      <w:r w:rsidRPr="004B5B1D">
        <w:rPr>
          <w:rFonts w:ascii="Times New Roman" w:eastAsia="Times New Roman" w:hAnsi="Times New Roman" w:cs="Times New Roman"/>
        </w:rPr>
        <w:t>her husband. In doing so, the RPD breached Ms. Barbosa Reis’ right to procedural fairness. The Unsolicited Information and Transcript were not and could not be adequately tested. By relying on this untested evidence, the RPD placed Ms. Barbosa Reis in an impossible situation: to face her husband, the agent of persecution</w:t>
      </w:r>
      <w:r w:rsidR="008E0F7F" w:rsidRPr="004B5B1D">
        <w:rPr>
          <w:rFonts w:ascii="Times New Roman" w:eastAsia="Times New Roman" w:hAnsi="Times New Roman" w:cs="Times New Roman"/>
        </w:rPr>
        <w:t xml:space="preserve"> </w:t>
      </w:r>
      <w:r w:rsidRPr="004B5B1D">
        <w:rPr>
          <w:rFonts w:ascii="Times New Roman" w:eastAsia="Times New Roman" w:hAnsi="Times New Roman" w:cs="Times New Roman"/>
        </w:rPr>
        <w:t xml:space="preserve">as a witness, or receive an unfair hearing resulting from the admission of </w:t>
      </w:r>
      <w:r w:rsidR="008E0F7F" w:rsidRPr="004B5B1D">
        <w:rPr>
          <w:rFonts w:ascii="Times New Roman" w:eastAsia="Times New Roman" w:hAnsi="Times New Roman" w:cs="Times New Roman"/>
        </w:rPr>
        <w:t xml:space="preserve">untested </w:t>
      </w:r>
      <w:r w:rsidRPr="004B5B1D">
        <w:rPr>
          <w:rFonts w:ascii="Times New Roman" w:eastAsia="Times New Roman" w:hAnsi="Times New Roman" w:cs="Times New Roman"/>
        </w:rPr>
        <w:t>evidenc</w:t>
      </w:r>
      <w:r w:rsidR="008E0F7F" w:rsidRPr="004B5B1D">
        <w:rPr>
          <w:rFonts w:ascii="Times New Roman" w:eastAsia="Times New Roman" w:hAnsi="Times New Roman" w:cs="Times New Roman"/>
        </w:rPr>
        <w:t>e</w:t>
      </w:r>
      <w:r w:rsidRPr="004B5B1D">
        <w:rPr>
          <w:rFonts w:ascii="Times New Roman" w:eastAsia="Times New Roman" w:hAnsi="Times New Roman" w:cs="Times New Roman"/>
        </w:rPr>
        <w:t xml:space="preserve">. The Federal Court recognized the RPD’s error and found that the unsolicited information and transcript should not have been admitted for consideration. </w:t>
      </w:r>
    </w:p>
    <w:p w14:paraId="28CBB7FD" w14:textId="58D135E0" w:rsidR="00C32C09" w:rsidRPr="004B5B1D" w:rsidRDefault="00DD3B43" w:rsidP="0099454C">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b/>
          <w:bCs/>
        </w:rPr>
      </w:pPr>
      <w:r w:rsidRPr="004B5B1D">
        <w:rPr>
          <w:rFonts w:ascii="Times New Roman" w:eastAsia="Times New Roman" w:hAnsi="Times New Roman" w:cs="Times New Roman"/>
        </w:rPr>
        <w:t>In the alternative</w:t>
      </w:r>
      <w:r w:rsidR="008E0F7F" w:rsidRPr="004B5B1D">
        <w:rPr>
          <w:rFonts w:ascii="Times New Roman" w:eastAsia="Times New Roman" w:hAnsi="Times New Roman" w:cs="Times New Roman"/>
        </w:rPr>
        <w:t>, if</w:t>
      </w:r>
      <w:r w:rsidR="00A66C0D" w:rsidRPr="004B5B1D">
        <w:rPr>
          <w:rFonts w:ascii="Times New Roman" w:eastAsia="Times New Roman" w:hAnsi="Times New Roman" w:cs="Times New Roman"/>
        </w:rPr>
        <w:t xml:space="preserve"> the RPD was permitted to admit the </w:t>
      </w:r>
      <w:r w:rsidR="003A0ED5" w:rsidRPr="004B5B1D">
        <w:rPr>
          <w:rFonts w:ascii="Times New Roman" w:eastAsia="Times New Roman" w:hAnsi="Times New Roman" w:cs="Times New Roman"/>
        </w:rPr>
        <w:t>Unsolicited Information and Transcript</w:t>
      </w:r>
      <w:r w:rsidR="00A66C0D" w:rsidRPr="004B5B1D">
        <w:rPr>
          <w:rFonts w:ascii="Times New Roman" w:eastAsia="Times New Roman" w:hAnsi="Times New Roman" w:cs="Times New Roman"/>
        </w:rPr>
        <w:t xml:space="preserve"> of the agent of persecution, it nevertheless arrived at an </w:t>
      </w:r>
      <w:r w:rsidR="005F497E" w:rsidRPr="004B5B1D">
        <w:rPr>
          <w:rFonts w:ascii="Times New Roman" w:eastAsia="Times New Roman" w:hAnsi="Times New Roman" w:cs="Times New Roman"/>
        </w:rPr>
        <w:t>unreasonable</w:t>
      </w:r>
      <w:r w:rsidR="00A66C0D" w:rsidRPr="004B5B1D">
        <w:rPr>
          <w:rFonts w:ascii="Times New Roman" w:eastAsia="Times New Roman" w:hAnsi="Times New Roman" w:cs="Times New Roman"/>
        </w:rPr>
        <w:t xml:space="preserve"> decision. </w:t>
      </w:r>
      <w:r w:rsidR="0057049E" w:rsidRPr="004B5B1D">
        <w:rPr>
          <w:rFonts w:ascii="Times New Roman" w:eastAsia="Times New Roman" w:hAnsi="Times New Roman" w:cs="Times New Roman"/>
        </w:rPr>
        <w:t xml:space="preserve">The RPD member </w:t>
      </w:r>
      <w:r w:rsidR="00775916" w:rsidRPr="004B5B1D">
        <w:rPr>
          <w:rFonts w:ascii="Times New Roman" w:eastAsia="Times New Roman" w:hAnsi="Times New Roman" w:cs="Times New Roman"/>
        </w:rPr>
        <w:t>failed to provide adequate reasons for preferring the evidence from the agent of persecution</w:t>
      </w:r>
      <w:r w:rsidR="00D4502D" w:rsidRPr="004B5B1D">
        <w:rPr>
          <w:rFonts w:ascii="Times New Roman" w:eastAsia="Times New Roman" w:hAnsi="Times New Roman" w:cs="Times New Roman"/>
        </w:rPr>
        <w:t xml:space="preserve"> and </w:t>
      </w:r>
      <w:r w:rsidR="00775916" w:rsidRPr="004B5B1D">
        <w:rPr>
          <w:rFonts w:ascii="Times New Roman" w:eastAsia="Times New Roman" w:hAnsi="Times New Roman" w:cs="Times New Roman"/>
        </w:rPr>
        <w:t xml:space="preserve">misapplied the </w:t>
      </w:r>
      <w:r w:rsidR="00342BFD" w:rsidRPr="004B5B1D">
        <w:rPr>
          <w:rFonts w:ascii="Times New Roman" w:eastAsia="Times New Roman" w:hAnsi="Times New Roman" w:cs="Times New Roman"/>
          <w:i/>
          <w:iCs/>
        </w:rPr>
        <w:t>Chairperson’s</w:t>
      </w:r>
      <w:r w:rsidR="00342BFD" w:rsidRPr="004B5B1D">
        <w:rPr>
          <w:rFonts w:ascii="Times New Roman" w:eastAsia="Times New Roman" w:hAnsi="Times New Roman" w:cs="Times New Roman"/>
        </w:rPr>
        <w:t xml:space="preserve"> </w:t>
      </w:r>
      <w:r w:rsidR="00775916" w:rsidRPr="004B5B1D">
        <w:rPr>
          <w:rFonts w:ascii="Times New Roman" w:eastAsia="Times New Roman" w:hAnsi="Times New Roman" w:cs="Times New Roman"/>
          <w:i/>
          <w:iCs/>
        </w:rPr>
        <w:t>Gender Guidelines</w:t>
      </w:r>
      <w:r w:rsidR="008E0F7F" w:rsidRPr="004B5B1D">
        <w:rPr>
          <w:rFonts w:ascii="Times New Roman" w:eastAsia="Times New Roman" w:hAnsi="Times New Roman" w:cs="Times New Roman"/>
          <w:i/>
          <w:iCs/>
        </w:rPr>
        <w:t>.</w:t>
      </w:r>
      <w:r w:rsidR="00686807" w:rsidRPr="004B5B1D">
        <w:rPr>
          <w:rStyle w:val="FootnoteReference"/>
          <w:rFonts w:ascii="Times New Roman" w:eastAsia="Times New Roman" w:hAnsi="Times New Roman" w:cs="Times New Roman"/>
        </w:rPr>
        <w:footnoteReference w:id="2"/>
      </w:r>
      <w:r w:rsidR="00D4502D" w:rsidRPr="004B5B1D">
        <w:rPr>
          <w:rFonts w:ascii="Times New Roman" w:eastAsia="Times New Roman" w:hAnsi="Times New Roman" w:cs="Times New Roman"/>
        </w:rPr>
        <w:t xml:space="preserve"> </w:t>
      </w:r>
      <w:r w:rsidR="006A7A67" w:rsidRPr="004B5B1D">
        <w:rPr>
          <w:rFonts w:ascii="Times New Roman" w:eastAsia="Times New Roman" w:hAnsi="Times New Roman" w:cs="Times New Roman"/>
        </w:rPr>
        <w:t>Allowing the RPD’s decision</w:t>
      </w:r>
      <w:r w:rsidR="00DB0A50" w:rsidRPr="004B5B1D">
        <w:rPr>
          <w:rFonts w:ascii="Times New Roman" w:eastAsia="Times New Roman" w:hAnsi="Times New Roman" w:cs="Times New Roman"/>
        </w:rPr>
        <w:t xml:space="preserve"> to stand</w:t>
      </w:r>
      <w:r w:rsidR="006A7A67" w:rsidRPr="004B5B1D">
        <w:rPr>
          <w:rFonts w:ascii="Times New Roman" w:eastAsia="Times New Roman" w:hAnsi="Times New Roman" w:cs="Times New Roman"/>
        </w:rPr>
        <w:t xml:space="preserve"> in this case would be an endorsement of a prejudicial evaluation of evidence. </w:t>
      </w:r>
    </w:p>
    <w:p w14:paraId="3C2B8575" w14:textId="77777777" w:rsidR="00BA001F" w:rsidRDefault="00BA001F" w:rsidP="00A6509C">
      <w:pPr>
        <w:spacing w:before="100" w:beforeAutospacing="1" w:after="100" w:afterAutospacing="1" w:line="480" w:lineRule="auto"/>
        <w:jc w:val="center"/>
        <w:rPr>
          <w:rFonts w:ascii="Times New Roman" w:eastAsia="Times New Roman" w:hAnsi="Times New Roman" w:cs="Times New Roman"/>
          <w:b/>
          <w:bCs/>
        </w:rPr>
      </w:pPr>
    </w:p>
    <w:p w14:paraId="12BE40A0" w14:textId="77777777" w:rsidR="00BA001F" w:rsidRDefault="00BA001F" w:rsidP="00A6509C">
      <w:pPr>
        <w:spacing w:before="100" w:beforeAutospacing="1" w:after="100" w:afterAutospacing="1" w:line="480" w:lineRule="auto"/>
        <w:jc w:val="center"/>
        <w:rPr>
          <w:rFonts w:ascii="Times New Roman" w:eastAsia="Times New Roman" w:hAnsi="Times New Roman" w:cs="Times New Roman"/>
          <w:b/>
          <w:bCs/>
        </w:rPr>
      </w:pPr>
    </w:p>
    <w:p w14:paraId="1E942362" w14:textId="6CABB7FC" w:rsidR="00A46F0C" w:rsidRPr="004B5B1D" w:rsidRDefault="00697B43" w:rsidP="00A6509C">
      <w:pPr>
        <w:spacing w:before="100" w:beforeAutospacing="1" w:after="100" w:afterAutospacing="1" w:line="480" w:lineRule="auto"/>
        <w:jc w:val="center"/>
        <w:rPr>
          <w:rFonts w:ascii="Times New Roman" w:eastAsia="Times New Roman" w:hAnsi="Times New Roman" w:cs="Times New Roman"/>
          <w:b/>
          <w:bCs/>
        </w:rPr>
      </w:pPr>
      <w:r w:rsidRPr="004B5B1D">
        <w:rPr>
          <w:rFonts w:ascii="Times New Roman" w:eastAsia="Times New Roman" w:hAnsi="Times New Roman" w:cs="Times New Roman"/>
          <w:b/>
          <w:bCs/>
        </w:rPr>
        <w:lastRenderedPageBreak/>
        <w:t>PART I: FACTS</w:t>
      </w:r>
    </w:p>
    <w:p w14:paraId="754076BD" w14:textId="2EF00229" w:rsidR="00532316" w:rsidRPr="004B5B1D" w:rsidRDefault="00532316" w:rsidP="00532316">
      <w:pPr>
        <w:spacing w:before="100" w:beforeAutospacing="1" w:after="100" w:afterAutospacing="1" w:line="480" w:lineRule="auto"/>
        <w:rPr>
          <w:rFonts w:ascii="Times New Roman" w:eastAsia="Times New Roman" w:hAnsi="Times New Roman" w:cs="Times New Roman"/>
          <w:b/>
          <w:bCs/>
          <w:u w:val="single"/>
        </w:rPr>
      </w:pPr>
      <w:r w:rsidRPr="004B5B1D">
        <w:rPr>
          <w:rFonts w:ascii="Times New Roman" w:eastAsia="Times New Roman" w:hAnsi="Times New Roman" w:cs="Times New Roman"/>
          <w:b/>
          <w:bCs/>
          <w:u w:val="single"/>
        </w:rPr>
        <w:t xml:space="preserve">Immigration History </w:t>
      </w:r>
    </w:p>
    <w:p w14:paraId="0C905821" w14:textId="20B90260" w:rsidR="00532316" w:rsidRPr="004B5B1D" w:rsidRDefault="00532316" w:rsidP="00E34EB3">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eastAsia="Times New Roman" w:hAnsi="Times New Roman" w:cs="Times New Roman"/>
        </w:rPr>
        <w:t xml:space="preserve">Ms. Isabella Barbosa </w:t>
      </w:r>
      <w:r w:rsidRPr="004B5B1D">
        <w:rPr>
          <w:rFonts w:ascii="Times New Roman" w:hAnsi="Times New Roman" w:cs="Times New Roman"/>
        </w:rPr>
        <w:t>Reis and Mr. Manuel Alves Barbosa were married</w:t>
      </w:r>
      <w:r w:rsidR="009712D3" w:rsidRPr="004B5B1D">
        <w:rPr>
          <w:rFonts w:ascii="Times New Roman" w:hAnsi="Times New Roman" w:cs="Times New Roman"/>
        </w:rPr>
        <w:t xml:space="preserve"> in 2015</w:t>
      </w:r>
      <w:r w:rsidRPr="004B5B1D">
        <w:rPr>
          <w:rFonts w:ascii="Times New Roman" w:hAnsi="Times New Roman" w:cs="Times New Roman"/>
        </w:rPr>
        <w:t xml:space="preserve"> and </w:t>
      </w:r>
      <w:r w:rsidR="009712D3" w:rsidRPr="004B5B1D">
        <w:rPr>
          <w:rFonts w:ascii="Times New Roman" w:hAnsi="Times New Roman" w:cs="Times New Roman"/>
        </w:rPr>
        <w:t xml:space="preserve">lived </w:t>
      </w:r>
      <w:r w:rsidRPr="004B5B1D">
        <w:rPr>
          <w:rFonts w:ascii="Times New Roman" w:hAnsi="Times New Roman" w:cs="Times New Roman"/>
        </w:rPr>
        <w:t>in Brazil with their two children, Pedro and Alandra Reis Barbosa.</w:t>
      </w:r>
    </w:p>
    <w:p w14:paraId="7D8168B9" w14:textId="1C6CE10F" w:rsidR="00532316" w:rsidRPr="004B5B1D" w:rsidRDefault="00532316" w:rsidP="00E34EB3">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eastAsia="Times New Roman" w:hAnsi="Times New Roman" w:cs="Times New Roman"/>
        </w:rPr>
        <w:t xml:space="preserve">In mid-2019, </w:t>
      </w:r>
      <w:r w:rsidR="00565AF1"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Pr="004B5B1D">
        <w:rPr>
          <w:rFonts w:ascii="Times New Roman" w:eastAsia="Times New Roman" w:hAnsi="Times New Roman" w:cs="Times New Roman"/>
        </w:rPr>
        <w:t xml:space="preserve"> </w:t>
      </w:r>
      <w:r w:rsidRPr="004B5B1D">
        <w:rPr>
          <w:rFonts w:ascii="Times New Roman" w:hAnsi="Times New Roman" w:cs="Times New Roman"/>
        </w:rPr>
        <w:t xml:space="preserve">claimed the Commando Vermelho gang in Brazil began targeting him. The family could not pay the extortion fee, </w:t>
      </w:r>
      <w:r w:rsidR="00574DF7" w:rsidRPr="004B5B1D">
        <w:rPr>
          <w:rFonts w:ascii="Times New Roman" w:hAnsi="Times New Roman" w:cs="Times New Roman"/>
        </w:rPr>
        <w:t>and as a result,</w:t>
      </w:r>
      <w:r w:rsidRPr="004B5B1D">
        <w:rPr>
          <w:rFonts w:ascii="Times New Roman" w:hAnsi="Times New Roman" w:cs="Times New Roman"/>
        </w:rPr>
        <w:t xml:space="preserve"> the gang physically attacked </w:t>
      </w:r>
      <w:r w:rsidR="006F48D8" w:rsidRPr="004B5B1D">
        <w:rPr>
          <w:rFonts w:ascii="Times New Roman" w:hAnsi="Times New Roman" w:cs="Times New Roman"/>
        </w:rPr>
        <w:t>her husband</w:t>
      </w:r>
      <w:r w:rsidRPr="004B5B1D">
        <w:rPr>
          <w:rFonts w:ascii="Times New Roman" w:hAnsi="Times New Roman" w:cs="Times New Roman"/>
        </w:rPr>
        <w:t>, threatening to kill him. This prompted the family to claim refugee protection at a port of entry in Canada in February 2020, pursuant to sections 96 and 97(1) of</w:t>
      </w:r>
      <w:r w:rsidR="001B6D7E">
        <w:rPr>
          <w:rFonts w:ascii="Times New Roman" w:hAnsi="Times New Roman" w:cs="Times New Roman"/>
        </w:rPr>
        <w:t xml:space="preserve"> the</w:t>
      </w:r>
      <w:r w:rsidRPr="004B5B1D">
        <w:rPr>
          <w:rFonts w:ascii="Times New Roman" w:hAnsi="Times New Roman" w:cs="Times New Roman"/>
        </w:rPr>
        <w:t xml:space="preserve"> </w:t>
      </w:r>
      <w:r w:rsidR="007E0ACC" w:rsidRPr="004B5B1D">
        <w:rPr>
          <w:rFonts w:ascii="Times New Roman" w:hAnsi="Times New Roman" w:cs="Times New Roman"/>
          <w:i/>
          <w:iCs/>
        </w:rPr>
        <w:t>IRPA</w:t>
      </w:r>
      <w:r w:rsidR="00B5377A" w:rsidRPr="004B5B1D">
        <w:rPr>
          <w:rFonts w:ascii="Times New Roman" w:hAnsi="Times New Roman" w:cs="Times New Roman"/>
        </w:rPr>
        <w:t>.</w:t>
      </w:r>
      <w:r w:rsidR="004018F9" w:rsidRPr="004B5B1D">
        <w:rPr>
          <w:rStyle w:val="FootnoteReference"/>
          <w:rFonts w:ascii="Times New Roman" w:hAnsi="Times New Roman" w:cs="Times New Roman"/>
        </w:rPr>
        <w:footnoteReference w:id="3"/>
      </w:r>
      <w:r w:rsidR="00FC6DBF" w:rsidRPr="004B5B1D">
        <w:rPr>
          <w:rFonts w:ascii="Times New Roman" w:hAnsi="Times New Roman" w:cs="Times New Roman"/>
        </w:rPr>
        <w:t xml:space="preserve"> </w:t>
      </w:r>
      <w:r w:rsidR="00EB7DB7" w:rsidRPr="004B5B1D">
        <w:rPr>
          <w:rFonts w:ascii="Times New Roman" w:hAnsi="Times New Roman" w:cs="Times New Roman"/>
        </w:rPr>
        <w:t>Her</w:t>
      </w:r>
      <w:r w:rsidR="00EE7FD3" w:rsidRPr="004B5B1D">
        <w:rPr>
          <w:rFonts w:ascii="Times New Roman" w:hAnsi="Times New Roman" w:cs="Times New Roman"/>
        </w:rPr>
        <w:t xml:space="preserve"> husband</w:t>
      </w:r>
      <w:r w:rsidRPr="004B5B1D">
        <w:rPr>
          <w:rFonts w:ascii="Times New Roman" w:hAnsi="Times New Roman" w:cs="Times New Roman"/>
        </w:rPr>
        <w:t>’s Basis of Claim narrative (“BOC”) was filed on the family’s behalf.</w:t>
      </w:r>
    </w:p>
    <w:p w14:paraId="716D57AB" w14:textId="5AC21482" w:rsidR="00532316" w:rsidRPr="004B5B1D" w:rsidRDefault="00EC5D97" w:rsidP="00E34EB3">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t xml:space="preserve">Despite ongoing physical abuse by her husband, Ms. Barbosa Reis did not file an independent BOC. She relied on her husband’s narrative to enter Canada, as she </w:t>
      </w:r>
      <w:r w:rsidR="003A5523" w:rsidRPr="004B5B1D">
        <w:rPr>
          <w:rFonts w:ascii="Times New Roman" w:eastAsia="Times New Roman" w:hAnsi="Times New Roman" w:cs="Times New Roman"/>
        </w:rPr>
        <w:t xml:space="preserve">spoke </w:t>
      </w:r>
      <w:r w:rsidRPr="004B5B1D">
        <w:rPr>
          <w:rFonts w:ascii="Times New Roman" w:eastAsia="Times New Roman" w:hAnsi="Times New Roman" w:cs="Times New Roman"/>
        </w:rPr>
        <w:t>no English and he controlled every aspect of her life, including all her social interactions and movements to and from the ho</w:t>
      </w:r>
      <w:r w:rsidR="00253D88" w:rsidRPr="004B5B1D">
        <w:rPr>
          <w:rFonts w:ascii="Times New Roman" w:eastAsia="Times New Roman" w:hAnsi="Times New Roman" w:cs="Times New Roman"/>
        </w:rPr>
        <w:t>m</w:t>
      </w:r>
      <w:r w:rsidRPr="004B5B1D">
        <w:rPr>
          <w:rFonts w:ascii="Times New Roman" w:eastAsia="Times New Roman" w:hAnsi="Times New Roman" w:cs="Times New Roman"/>
        </w:rPr>
        <w:t xml:space="preserve">e.  </w:t>
      </w:r>
    </w:p>
    <w:p w14:paraId="7D78DEC3" w14:textId="7E09ECFB" w:rsidR="00B87A82" w:rsidRPr="004B5B1D" w:rsidRDefault="00B87A82" w:rsidP="00B87A82">
      <w:pPr>
        <w:spacing w:before="100" w:beforeAutospacing="1" w:after="100" w:afterAutospacing="1" w:line="480" w:lineRule="auto"/>
        <w:rPr>
          <w:rFonts w:ascii="Times New Roman" w:eastAsia="Times New Roman" w:hAnsi="Times New Roman" w:cs="Times New Roman"/>
          <w:b/>
          <w:bCs/>
          <w:u w:val="single"/>
        </w:rPr>
      </w:pPr>
      <w:r w:rsidRPr="004B5B1D">
        <w:rPr>
          <w:rFonts w:ascii="Times New Roman" w:eastAsia="Times New Roman" w:hAnsi="Times New Roman" w:cs="Times New Roman"/>
          <w:b/>
          <w:bCs/>
          <w:u w:val="single"/>
        </w:rPr>
        <w:t>Personal Histor</w:t>
      </w:r>
      <w:r w:rsidR="00253D88" w:rsidRPr="004B5B1D">
        <w:rPr>
          <w:rFonts w:ascii="Times New Roman" w:eastAsia="Times New Roman" w:hAnsi="Times New Roman" w:cs="Times New Roman"/>
          <w:b/>
          <w:bCs/>
          <w:u w:val="single"/>
        </w:rPr>
        <w:t>y</w:t>
      </w:r>
    </w:p>
    <w:p w14:paraId="4B335804" w14:textId="30C63365" w:rsidR="00B87A82" w:rsidRPr="004B5B1D" w:rsidRDefault="00B87A82" w:rsidP="00FD2173">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eastAsia="Times New Roman" w:hAnsi="Times New Roman" w:cs="Times New Roman"/>
        </w:rPr>
        <w:t xml:space="preserve">Ms. Barbosa Reis suffered </w:t>
      </w:r>
      <w:r w:rsidRPr="004B5B1D">
        <w:rPr>
          <w:rFonts w:ascii="Times New Roman" w:hAnsi="Times New Roman" w:cs="Times New Roman"/>
        </w:rPr>
        <w:t xml:space="preserve">significant abuse at the hands of her husband. </w:t>
      </w:r>
      <w:r w:rsidR="002F537E" w:rsidRPr="004B5B1D">
        <w:rPr>
          <w:rFonts w:ascii="Times New Roman" w:hAnsi="Times New Roman" w:cs="Times New Roman"/>
        </w:rPr>
        <w:t>Her</w:t>
      </w:r>
      <w:r w:rsidR="00EE7FD3" w:rsidRPr="004B5B1D">
        <w:rPr>
          <w:rFonts w:ascii="Times New Roman" w:hAnsi="Times New Roman" w:cs="Times New Roman"/>
        </w:rPr>
        <w:t xml:space="preserve"> husband</w:t>
      </w:r>
      <w:r w:rsidRPr="004B5B1D">
        <w:rPr>
          <w:rFonts w:ascii="Times New Roman" w:hAnsi="Times New Roman" w:cs="Times New Roman"/>
        </w:rPr>
        <w:t xml:space="preserve"> began physically and verbally abusing </w:t>
      </w:r>
      <w:r w:rsidR="00D94A01" w:rsidRPr="004B5B1D">
        <w:rPr>
          <w:rFonts w:ascii="Times New Roman" w:hAnsi="Times New Roman" w:cs="Times New Roman"/>
        </w:rPr>
        <w:t>her</w:t>
      </w:r>
      <w:r w:rsidRPr="004B5B1D">
        <w:rPr>
          <w:rFonts w:ascii="Times New Roman" w:hAnsi="Times New Roman" w:cs="Times New Roman"/>
        </w:rPr>
        <w:t xml:space="preserve"> shortly after their marriage. </w:t>
      </w:r>
      <w:r w:rsidR="007826FC"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Pr="004B5B1D">
        <w:rPr>
          <w:rFonts w:ascii="Times New Roman" w:hAnsi="Times New Roman" w:cs="Times New Roman"/>
        </w:rPr>
        <w:t xml:space="preserve"> controlled all her social interactions and prohibited her from leaving the home unless she obtained his permission. His abuse led Ms. Barbosa Reis </w:t>
      </w:r>
      <w:r w:rsidR="002B5DBA" w:rsidRPr="004B5B1D">
        <w:rPr>
          <w:rFonts w:ascii="Times New Roman" w:hAnsi="Times New Roman" w:cs="Times New Roman"/>
        </w:rPr>
        <w:t xml:space="preserve">to suffer a </w:t>
      </w:r>
      <w:r w:rsidRPr="004B5B1D">
        <w:rPr>
          <w:rFonts w:ascii="Times New Roman" w:hAnsi="Times New Roman" w:cs="Times New Roman"/>
        </w:rPr>
        <w:t xml:space="preserve">miscarriage. After the birth of </w:t>
      </w:r>
      <w:r w:rsidR="006B15CA" w:rsidRPr="004B5B1D">
        <w:rPr>
          <w:rFonts w:ascii="Times New Roman" w:hAnsi="Times New Roman" w:cs="Times New Roman"/>
        </w:rPr>
        <w:t xml:space="preserve">each of their </w:t>
      </w:r>
      <w:r w:rsidRPr="004B5B1D">
        <w:rPr>
          <w:rFonts w:ascii="Times New Roman" w:hAnsi="Times New Roman" w:cs="Times New Roman"/>
        </w:rPr>
        <w:t xml:space="preserve">children on October 28, 2017, and August 3, 2019, Mr. </w:t>
      </w:r>
      <w:r w:rsidR="00905D5D" w:rsidRPr="004B5B1D">
        <w:rPr>
          <w:rFonts w:ascii="Times New Roman" w:hAnsi="Times New Roman" w:cs="Times New Roman"/>
        </w:rPr>
        <w:t xml:space="preserve">Alves </w:t>
      </w:r>
      <w:r w:rsidRPr="004B5B1D">
        <w:rPr>
          <w:rFonts w:ascii="Times New Roman" w:hAnsi="Times New Roman" w:cs="Times New Roman"/>
        </w:rPr>
        <w:t>Barbosa leveraged the children</w:t>
      </w:r>
      <w:r w:rsidR="009F1601">
        <w:rPr>
          <w:rFonts w:ascii="Times New Roman" w:hAnsi="Times New Roman" w:cs="Times New Roman"/>
        </w:rPr>
        <w:t xml:space="preserve"> to </w:t>
      </w:r>
      <w:r w:rsidR="00CE1016">
        <w:rPr>
          <w:rFonts w:ascii="Times New Roman" w:hAnsi="Times New Roman" w:cs="Times New Roman"/>
        </w:rPr>
        <w:lastRenderedPageBreak/>
        <w:t>prevent</w:t>
      </w:r>
      <w:r w:rsidR="009F1601">
        <w:rPr>
          <w:rFonts w:ascii="Times New Roman" w:hAnsi="Times New Roman" w:cs="Times New Roman"/>
        </w:rPr>
        <w:t xml:space="preserve"> Ms. Barbosa Reis from reporting the abuse to anyone. He </w:t>
      </w:r>
      <w:r w:rsidRPr="004B5B1D">
        <w:rPr>
          <w:rFonts w:ascii="Times New Roman" w:hAnsi="Times New Roman" w:cs="Times New Roman"/>
        </w:rPr>
        <w:t>threatened to take</w:t>
      </w:r>
      <w:r w:rsidR="009F1601">
        <w:rPr>
          <w:rFonts w:ascii="Times New Roman" w:hAnsi="Times New Roman" w:cs="Times New Roman"/>
        </w:rPr>
        <w:t xml:space="preserve"> her children away</w:t>
      </w:r>
      <w:r w:rsidR="0012336A">
        <w:rPr>
          <w:rFonts w:ascii="Times New Roman" w:hAnsi="Times New Roman" w:cs="Times New Roman"/>
        </w:rPr>
        <w:t xml:space="preserve"> if she did not comply</w:t>
      </w:r>
      <w:r w:rsidRPr="004B5B1D">
        <w:rPr>
          <w:rFonts w:ascii="Times New Roman" w:hAnsi="Times New Roman" w:cs="Times New Roman"/>
        </w:rPr>
        <w:t>.</w:t>
      </w:r>
      <w:r w:rsidR="00B56984">
        <w:rPr>
          <w:rStyle w:val="FootnoteReference"/>
          <w:rFonts w:ascii="Times New Roman" w:hAnsi="Times New Roman" w:cs="Times New Roman"/>
        </w:rPr>
        <w:footnoteReference w:id="4"/>
      </w:r>
    </w:p>
    <w:p w14:paraId="15C215D1" w14:textId="11D93CBC" w:rsidR="009077F0" w:rsidRPr="004B5B1D" w:rsidRDefault="009077F0" w:rsidP="00FD2173">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t xml:space="preserve">On June 1, 2021, Ms. Barbosa Reis applied to sever her and her children’s claims from </w:t>
      </w:r>
      <w:r w:rsidR="008161DB"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Pr="004B5B1D">
        <w:rPr>
          <w:rFonts w:ascii="Times New Roman" w:eastAsia="Times New Roman" w:hAnsi="Times New Roman" w:cs="Times New Roman"/>
        </w:rPr>
        <w:t xml:space="preserve"> pursuant to Rule 56(2) of the </w:t>
      </w:r>
      <w:r w:rsidR="00D9587E">
        <w:rPr>
          <w:rFonts w:ascii="Times New Roman" w:eastAsia="Times New Roman" w:hAnsi="Times New Roman" w:cs="Times New Roman"/>
          <w:i/>
          <w:iCs/>
        </w:rPr>
        <w:t>RPD Rules</w:t>
      </w:r>
      <w:r w:rsidRPr="004B5B1D">
        <w:rPr>
          <w:rFonts w:ascii="Times New Roman" w:eastAsia="Times New Roman" w:hAnsi="Times New Roman" w:cs="Times New Roman"/>
        </w:rPr>
        <w:t>.</w:t>
      </w:r>
      <w:r w:rsidRPr="004B5B1D">
        <w:rPr>
          <w:rStyle w:val="FootnoteReference"/>
          <w:rFonts w:ascii="Times New Roman" w:eastAsia="Times New Roman" w:hAnsi="Times New Roman" w:cs="Times New Roman"/>
        </w:rPr>
        <w:footnoteReference w:id="5"/>
      </w:r>
      <w:r w:rsidRPr="004B5B1D">
        <w:rPr>
          <w:rFonts w:ascii="Times New Roman" w:eastAsia="Times New Roman" w:hAnsi="Times New Roman" w:cs="Times New Roman"/>
        </w:rPr>
        <w:t xml:space="preserve"> She applied to sever the claims because she and the children had been victims of ongoing, intolerable physical abuse by </w:t>
      </w:r>
      <w:r w:rsidR="007826FC"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Pr="004B5B1D">
        <w:rPr>
          <w:rFonts w:ascii="Times New Roman" w:eastAsia="Times New Roman" w:hAnsi="Times New Roman" w:cs="Times New Roman"/>
        </w:rPr>
        <w:t xml:space="preserve">. Her application was approved, and the hearing date was set for September 15, 2022 (the “September Hearing”). </w:t>
      </w:r>
    </w:p>
    <w:p w14:paraId="5F4C3D1C" w14:textId="62999697" w:rsidR="00253D88" w:rsidRPr="004B5B1D" w:rsidRDefault="00B87A82" w:rsidP="00253D88">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t xml:space="preserve">In Canada, </w:t>
      </w:r>
      <w:r w:rsidR="00367BFA"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Pr="004B5B1D">
        <w:rPr>
          <w:rFonts w:ascii="Times New Roman" w:eastAsia="Times New Roman" w:hAnsi="Times New Roman" w:cs="Times New Roman"/>
        </w:rPr>
        <w:t xml:space="preserve"> </w:t>
      </w:r>
      <w:r w:rsidR="00A56E6D" w:rsidRPr="004B5B1D">
        <w:rPr>
          <w:rFonts w:ascii="Times New Roman" w:eastAsia="Times New Roman" w:hAnsi="Times New Roman" w:cs="Times New Roman"/>
        </w:rPr>
        <w:t xml:space="preserve">continued </w:t>
      </w:r>
      <w:r w:rsidRPr="004B5B1D">
        <w:rPr>
          <w:rFonts w:ascii="Times New Roman" w:eastAsia="Times New Roman" w:hAnsi="Times New Roman" w:cs="Times New Roman"/>
        </w:rPr>
        <w:t xml:space="preserve">his abusive behaviour. He </w:t>
      </w:r>
      <w:r w:rsidR="006013FB" w:rsidRPr="004B5B1D">
        <w:rPr>
          <w:rFonts w:ascii="Times New Roman" w:eastAsia="Times New Roman" w:hAnsi="Times New Roman" w:cs="Times New Roman"/>
        </w:rPr>
        <w:t>held</w:t>
      </w:r>
      <w:r w:rsidRPr="004B5B1D">
        <w:rPr>
          <w:rFonts w:ascii="Times New Roman" w:eastAsia="Times New Roman" w:hAnsi="Times New Roman" w:cs="Times New Roman"/>
        </w:rPr>
        <w:t xml:space="preserve"> Ms. Barbosa Reis in </w:t>
      </w:r>
      <w:r w:rsidR="0090098E" w:rsidRPr="004B5B1D">
        <w:rPr>
          <w:rFonts w:ascii="Times New Roman" w:eastAsia="Times New Roman" w:hAnsi="Times New Roman" w:cs="Times New Roman"/>
        </w:rPr>
        <w:t>isolation and began to abuse his children</w:t>
      </w:r>
      <w:r w:rsidRPr="004B5B1D">
        <w:rPr>
          <w:rFonts w:ascii="Times New Roman" w:eastAsia="Times New Roman" w:hAnsi="Times New Roman" w:cs="Times New Roman"/>
        </w:rPr>
        <w:t xml:space="preserve">. </w:t>
      </w:r>
      <w:r w:rsidR="00922182"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Pr="004B5B1D">
        <w:rPr>
          <w:rFonts w:ascii="Times New Roman" w:eastAsia="Times New Roman" w:hAnsi="Times New Roman" w:cs="Times New Roman"/>
        </w:rPr>
        <w:t xml:space="preserve"> hit and yelled at </w:t>
      </w:r>
      <w:r w:rsidR="00B54CDE" w:rsidRPr="004B5B1D">
        <w:rPr>
          <w:rFonts w:ascii="Times New Roman" w:eastAsia="Times New Roman" w:hAnsi="Times New Roman" w:cs="Times New Roman"/>
        </w:rPr>
        <w:t>his</w:t>
      </w:r>
      <w:r w:rsidRPr="004B5B1D">
        <w:rPr>
          <w:rFonts w:ascii="Times New Roman" w:eastAsia="Times New Roman" w:hAnsi="Times New Roman" w:cs="Times New Roman"/>
        </w:rPr>
        <w:t xml:space="preserve"> children when they did not behave to his liking. Determined to protect her children from his abusive parenting, Ms. Barbosa Reis and her children left </w:t>
      </w:r>
      <w:r w:rsidR="004D0551"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Pr="004B5B1D">
        <w:rPr>
          <w:rFonts w:ascii="Times New Roman" w:eastAsia="Times New Roman" w:hAnsi="Times New Roman" w:cs="Times New Roman"/>
        </w:rPr>
        <w:t xml:space="preserve"> for a shelter.</w:t>
      </w:r>
    </w:p>
    <w:p w14:paraId="3933171E" w14:textId="77777777" w:rsidR="00253D88" w:rsidRPr="004B5B1D" w:rsidRDefault="00253D88" w:rsidP="00253D88">
      <w:pPr>
        <w:pStyle w:val="ListParagraph"/>
        <w:spacing w:before="100" w:beforeAutospacing="1" w:after="100" w:afterAutospacing="1" w:line="480" w:lineRule="auto"/>
        <w:ind w:left="0"/>
        <w:jc w:val="both"/>
        <w:rPr>
          <w:rFonts w:ascii="Times New Roman" w:eastAsia="Times New Roman" w:hAnsi="Times New Roman" w:cs="Times New Roman"/>
        </w:rPr>
      </w:pPr>
    </w:p>
    <w:p w14:paraId="17E9F000" w14:textId="7BCAA876" w:rsidR="0005183E" w:rsidRPr="004B5B1D" w:rsidRDefault="0005183E" w:rsidP="0005183E">
      <w:pPr>
        <w:pStyle w:val="ListParagraph"/>
        <w:spacing w:before="100" w:beforeAutospacing="1" w:after="100" w:afterAutospacing="1" w:line="480" w:lineRule="auto"/>
        <w:ind w:left="0"/>
        <w:rPr>
          <w:rFonts w:ascii="Times New Roman" w:eastAsia="Times New Roman" w:hAnsi="Times New Roman" w:cs="Times New Roman"/>
          <w:b/>
          <w:bCs/>
          <w:u w:val="single"/>
        </w:rPr>
      </w:pPr>
      <w:r w:rsidRPr="004B5B1D">
        <w:rPr>
          <w:rFonts w:ascii="Times New Roman" w:eastAsia="Times New Roman" w:hAnsi="Times New Roman" w:cs="Times New Roman"/>
          <w:b/>
          <w:bCs/>
          <w:u w:val="single"/>
        </w:rPr>
        <w:t xml:space="preserve">Procedural History </w:t>
      </w:r>
    </w:p>
    <w:p w14:paraId="20AB3B28" w14:textId="26B0B355" w:rsidR="00B87A82" w:rsidRPr="004B5B1D" w:rsidRDefault="00B87A82" w:rsidP="00B87A82">
      <w:pPr>
        <w:pStyle w:val="ListParagraph"/>
        <w:spacing w:before="100" w:beforeAutospacing="1" w:after="100" w:afterAutospacing="1" w:line="480" w:lineRule="auto"/>
        <w:ind w:left="0"/>
        <w:rPr>
          <w:rFonts w:ascii="Times New Roman" w:eastAsia="Times New Roman" w:hAnsi="Times New Roman" w:cs="Times New Roman"/>
          <w:i/>
          <w:iCs/>
        </w:rPr>
      </w:pPr>
      <w:r w:rsidRPr="004B5B1D">
        <w:rPr>
          <w:rFonts w:ascii="Times New Roman" w:eastAsia="Times New Roman" w:hAnsi="Times New Roman" w:cs="Times New Roman"/>
          <w:b/>
          <w:bCs/>
          <w:i/>
          <w:iCs/>
        </w:rPr>
        <w:t xml:space="preserve">RPD Decision </w:t>
      </w:r>
    </w:p>
    <w:p w14:paraId="6409238D" w14:textId="47D061F8" w:rsidR="00B87A82" w:rsidRPr="004B5B1D" w:rsidRDefault="00B87A82"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t xml:space="preserve">On October 25, 2021, the RPD found </w:t>
      </w:r>
      <w:r w:rsidR="00105786" w:rsidRPr="004B5B1D">
        <w:rPr>
          <w:rFonts w:ascii="Times New Roman" w:eastAsia="Times New Roman" w:hAnsi="Times New Roman" w:cs="Times New Roman"/>
        </w:rPr>
        <w:t xml:space="preserve">that </w:t>
      </w:r>
      <w:r w:rsidRPr="004B5B1D">
        <w:rPr>
          <w:rFonts w:ascii="Times New Roman" w:eastAsia="Times New Roman" w:hAnsi="Times New Roman" w:cs="Times New Roman"/>
        </w:rPr>
        <w:t>credibility</w:t>
      </w:r>
      <w:r w:rsidR="00105786" w:rsidRPr="004B5B1D">
        <w:rPr>
          <w:rFonts w:ascii="Times New Roman" w:eastAsia="Times New Roman" w:hAnsi="Times New Roman" w:cs="Times New Roman"/>
        </w:rPr>
        <w:t xml:space="preserve"> was the determinative issue. </w:t>
      </w:r>
    </w:p>
    <w:p w14:paraId="2547306C" w14:textId="5DF10978" w:rsidR="00532316" w:rsidRPr="004B5B1D" w:rsidRDefault="007D0DC2"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t xml:space="preserve">Evidence </w:t>
      </w:r>
      <w:r w:rsidR="00B87A82" w:rsidRPr="004B5B1D">
        <w:rPr>
          <w:rFonts w:ascii="Times New Roman" w:eastAsia="Times New Roman" w:hAnsi="Times New Roman" w:cs="Times New Roman"/>
        </w:rPr>
        <w:t xml:space="preserve">before the Board at </w:t>
      </w:r>
      <w:r w:rsidR="007876FE" w:rsidRPr="004B5B1D">
        <w:rPr>
          <w:rFonts w:ascii="Times New Roman" w:eastAsia="Times New Roman" w:hAnsi="Times New Roman" w:cs="Times New Roman"/>
        </w:rPr>
        <w:t xml:space="preserve">the </w:t>
      </w:r>
      <w:r w:rsidR="00B87A82" w:rsidRPr="004B5B1D">
        <w:rPr>
          <w:rFonts w:ascii="Times New Roman" w:eastAsia="Times New Roman" w:hAnsi="Times New Roman" w:cs="Times New Roman"/>
        </w:rPr>
        <w:t xml:space="preserve">September </w:t>
      </w:r>
      <w:r w:rsidR="00084A5E">
        <w:rPr>
          <w:rFonts w:ascii="Times New Roman" w:eastAsia="Times New Roman" w:hAnsi="Times New Roman" w:cs="Times New Roman"/>
        </w:rPr>
        <w:t>H</w:t>
      </w:r>
      <w:r w:rsidR="00B87A82" w:rsidRPr="004B5B1D">
        <w:rPr>
          <w:rFonts w:ascii="Times New Roman" w:eastAsia="Times New Roman" w:hAnsi="Times New Roman" w:cs="Times New Roman"/>
        </w:rPr>
        <w:t xml:space="preserve">earing included a transcript of </w:t>
      </w:r>
      <w:r w:rsidR="00253D88"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00B87A82" w:rsidRPr="004B5B1D">
        <w:rPr>
          <w:rFonts w:ascii="Times New Roman" w:eastAsia="Times New Roman" w:hAnsi="Times New Roman" w:cs="Times New Roman"/>
        </w:rPr>
        <w:t xml:space="preserve">’s testimony from his July </w:t>
      </w:r>
      <w:r w:rsidR="00061A6A">
        <w:rPr>
          <w:rFonts w:ascii="Times New Roman" w:eastAsia="Times New Roman" w:hAnsi="Times New Roman" w:cs="Times New Roman"/>
        </w:rPr>
        <w:t>h</w:t>
      </w:r>
      <w:r w:rsidR="00B87A82" w:rsidRPr="004B5B1D">
        <w:rPr>
          <w:rFonts w:ascii="Times New Roman" w:eastAsia="Times New Roman" w:hAnsi="Times New Roman" w:cs="Times New Roman"/>
        </w:rPr>
        <w:t>earing (</w:t>
      </w:r>
      <w:r w:rsidR="00A6509C" w:rsidRPr="004B5B1D">
        <w:rPr>
          <w:rFonts w:ascii="Times New Roman" w:eastAsia="Times New Roman" w:hAnsi="Times New Roman" w:cs="Times New Roman"/>
        </w:rPr>
        <w:t xml:space="preserve">the </w:t>
      </w:r>
      <w:r w:rsidR="00B87A82" w:rsidRPr="004B5B1D">
        <w:rPr>
          <w:rFonts w:ascii="Times New Roman" w:eastAsia="Times New Roman" w:hAnsi="Times New Roman" w:cs="Times New Roman"/>
        </w:rPr>
        <w:t>“Transcript”</w:t>
      </w:r>
      <w:r w:rsidR="00193BB5" w:rsidRPr="004B5B1D">
        <w:rPr>
          <w:rFonts w:ascii="Times New Roman" w:eastAsia="Times New Roman" w:hAnsi="Times New Roman" w:cs="Times New Roman"/>
        </w:rPr>
        <w:t>)</w:t>
      </w:r>
      <w:r w:rsidR="00B87A82" w:rsidRPr="004B5B1D">
        <w:rPr>
          <w:rFonts w:ascii="Times New Roman" w:eastAsia="Times New Roman" w:hAnsi="Times New Roman" w:cs="Times New Roman"/>
        </w:rPr>
        <w:t xml:space="preserve"> and a package of unsolicited information. This package </w:t>
      </w:r>
      <w:r w:rsidR="00A02EF0" w:rsidRPr="004B5B1D">
        <w:rPr>
          <w:rFonts w:ascii="Times New Roman" w:eastAsia="Times New Roman" w:hAnsi="Times New Roman" w:cs="Times New Roman"/>
        </w:rPr>
        <w:t xml:space="preserve">included his sworn affidavits and letters from family members in Brazil </w:t>
      </w:r>
      <w:r w:rsidR="004B100F" w:rsidRPr="004B5B1D">
        <w:rPr>
          <w:rFonts w:ascii="Times New Roman" w:eastAsia="Times New Roman" w:hAnsi="Times New Roman" w:cs="Times New Roman"/>
        </w:rPr>
        <w:t>(</w:t>
      </w:r>
      <w:r w:rsidR="00A6509C" w:rsidRPr="004B5B1D">
        <w:rPr>
          <w:rFonts w:ascii="Times New Roman" w:eastAsia="Times New Roman" w:hAnsi="Times New Roman" w:cs="Times New Roman"/>
        </w:rPr>
        <w:t xml:space="preserve">the </w:t>
      </w:r>
      <w:r w:rsidR="004B100F" w:rsidRPr="004B5B1D">
        <w:rPr>
          <w:rFonts w:ascii="Times New Roman" w:eastAsia="Times New Roman" w:hAnsi="Times New Roman" w:cs="Times New Roman"/>
        </w:rPr>
        <w:t xml:space="preserve">“Unsolicited Information”) </w:t>
      </w:r>
      <w:r w:rsidR="00A02EF0" w:rsidRPr="004B5B1D">
        <w:rPr>
          <w:rFonts w:ascii="Times New Roman" w:eastAsia="Times New Roman" w:hAnsi="Times New Roman" w:cs="Times New Roman"/>
        </w:rPr>
        <w:t xml:space="preserve">which were tendered to bolster </w:t>
      </w:r>
      <w:r w:rsidR="00253D88"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00A02EF0" w:rsidRPr="004B5B1D">
        <w:rPr>
          <w:rFonts w:ascii="Times New Roman" w:eastAsia="Times New Roman" w:hAnsi="Times New Roman" w:cs="Times New Roman"/>
        </w:rPr>
        <w:t xml:space="preserve">’s image. </w:t>
      </w:r>
    </w:p>
    <w:p w14:paraId="37D62E8B" w14:textId="49B1D39B" w:rsidR="00EB41E0" w:rsidRPr="004B5B1D" w:rsidRDefault="00A02EF0"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b/>
          <w:bCs/>
        </w:rPr>
      </w:pPr>
      <w:r w:rsidRPr="004B5B1D">
        <w:rPr>
          <w:rFonts w:ascii="Times New Roman" w:eastAsia="Times New Roman" w:hAnsi="Times New Roman" w:cs="Times New Roman"/>
        </w:rPr>
        <w:t xml:space="preserve">Ms. Barbosa Reis argued </w:t>
      </w:r>
      <w:r w:rsidR="007876FE" w:rsidRPr="004B5B1D">
        <w:rPr>
          <w:rFonts w:ascii="Times New Roman" w:eastAsia="Times New Roman" w:hAnsi="Times New Roman" w:cs="Times New Roman"/>
        </w:rPr>
        <w:t xml:space="preserve">that </w:t>
      </w:r>
      <w:r w:rsidRPr="004B5B1D">
        <w:rPr>
          <w:rFonts w:ascii="Times New Roman" w:eastAsia="Times New Roman" w:hAnsi="Times New Roman" w:cs="Times New Roman"/>
        </w:rPr>
        <w:t xml:space="preserve">admitting the Transcript and Unsolicited Information as evidence would be inconsistent with Rule 21(5) of the </w:t>
      </w:r>
      <w:r w:rsidRPr="00745C1C">
        <w:rPr>
          <w:rFonts w:ascii="Times New Roman" w:eastAsia="Times New Roman" w:hAnsi="Times New Roman" w:cs="Times New Roman"/>
          <w:i/>
          <w:iCs/>
        </w:rPr>
        <w:t>RPD Rules</w:t>
      </w:r>
      <w:r w:rsidR="00157A86">
        <w:rPr>
          <w:rFonts w:ascii="Times New Roman" w:eastAsia="Times New Roman" w:hAnsi="Times New Roman" w:cs="Times New Roman"/>
        </w:rPr>
        <w:t xml:space="preserve"> </w:t>
      </w:r>
      <w:r w:rsidRPr="004B5B1D">
        <w:rPr>
          <w:rFonts w:ascii="Times New Roman" w:eastAsia="Times New Roman" w:hAnsi="Times New Roman" w:cs="Times New Roman"/>
        </w:rPr>
        <w:t xml:space="preserve">and section 170(h) of </w:t>
      </w:r>
      <w:r w:rsidR="007E0ACC" w:rsidRPr="004B5B1D">
        <w:rPr>
          <w:rFonts w:ascii="Times New Roman" w:eastAsia="Times New Roman" w:hAnsi="Times New Roman" w:cs="Times New Roman"/>
          <w:i/>
          <w:iCs/>
        </w:rPr>
        <w:t>IRPA</w:t>
      </w:r>
      <w:r w:rsidRPr="004B5B1D">
        <w:rPr>
          <w:rFonts w:ascii="Times New Roman" w:eastAsia="Times New Roman" w:hAnsi="Times New Roman" w:cs="Times New Roman"/>
        </w:rPr>
        <w:t>.</w:t>
      </w:r>
      <w:r w:rsidR="00253D88" w:rsidRPr="004B5B1D">
        <w:rPr>
          <w:rStyle w:val="FootnoteReference"/>
          <w:rFonts w:ascii="Times New Roman" w:eastAsia="Times New Roman" w:hAnsi="Times New Roman" w:cs="Times New Roman"/>
        </w:rPr>
        <w:t xml:space="preserve"> </w:t>
      </w:r>
      <w:r w:rsidR="00253D88" w:rsidRPr="004B5B1D">
        <w:rPr>
          <w:rStyle w:val="FootnoteReference"/>
          <w:rFonts w:ascii="Times New Roman" w:eastAsia="Times New Roman" w:hAnsi="Times New Roman" w:cs="Times New Roman"/>
        </w:rPr>
        <w:footnoteReference w:id="6"/>
      </w:r>
      <w:r w:rsidR="00253D88" w:rsidRPr="004B5B1D">
        <w:rPr>
          <w:rFonts w:ascii="Times New Roman" w:eastAsia="Times New Roman" w:hAnsi="Times New Roman" w:cs="Times New Roman"/>
        </w:rPr>
        <w:t xml:space="preserve"> </w:t>
      </w:r>
      <w:r w:rsidRPr="004B5B1D">
        <w:rPr>
          <w:rFonts w:ascii="Times New Roman" w:eastAsia="Times New Roman" w:hAnsi="Times New Roman" w:cs="Times New Roman"/>
        </w:rPr>
        <w:lastRenderedPageBreak/>
        <w:t xml:space="preserve">The evidence originated from the agent of persecution, someone with a motive to be untruthful. </w:t>
      </w:r>
      <w:r w:rsidR="003708C9" w:rsidRPr="004B5B1D">
        <w:rPr>
          <w:rFonts w:ascii="Times New Roman" w:eastAsia="Times New Roman" w:hAnsi="Times New Roman" w:cs="Times New Roman"/>
        </w:rPr>
        <w:t>It</w:t>
      </w:r>
      <w:r w:rsidRPr="004B5B1D">
        <w:rPr>
          <w:rFonts w:ascii="Times New Roman" w:eastAsia="Times New Roman" w:hAnsi="Times New Roman" w:cs="Times New Roman"/>
        </w:rPr>
        <w:t xml:space="preserve"> was not possible to adequately test this evidence without having the agent of persecution present at </w:t>
      </w:r>
      <w:r w:rsidR="00D414ED" w:rsidRPr="004B5B1D">
        <w:rPr>
          <w:rFonts w:ascii="Times New Roman" w:eastAsia="Times New Roman" w:hAnsi="Times New Roman" w:cs="Times New Roman"/>
        </w:rPr>
        <w:t xml:space="preserve">the September </w:t>
      </w:r>
      <w:r w:rsidR="00E86780">
        <w:rPr>
          <w:rFonts w:ascii="Times New Roman" w:eastAsia="Times New Roman" w:hAnsi="Times New Roman" w:cs="Times New Roman"/>
        </w:rPr>
        <w:t>H</w:t>
      </w:r>
      <w:r w:rsidR="00D414ED" w:rsidRPr="004B5B1D">
        <w:rPr>
          <w:rFonts w:ascii="Times New Roman" w:eastAsia="Times New Roman" w:hAnsi="Times New Roman" w:cs="Times New Roman"/>
        </w:rPr>
        <w:t>earing</w:t>
      </w:r>
      <w:r w:rsidRPr="004B5B1D">
        <w:rPr>
          <w:rFonts w:ascii="Times New Roman" w:eastAsia="Times New Roman" w:hAnsi="Times New Roman" w:cs="Times New Roman"/>
        </w:rPr>
        <w:t xml:space="preserve"> to be cross-examined, which </w:t>
      </w:r>
      <w:r w:rsidR="001A2302" w:rsidRPr="004B5B1D">
        <w:rPr>
          <w:rFonts w:ascii="Times New Roman" w:eastAsia="Times New Roman" w:hAnsi="Times New Roman" w:cs="Times New Roman"/>
        </w:rPr>
        <w:t>is contradictory to</w:t>
      </w:r>
      <w:r w:rsidRPr="004B5B1D">
        <w:rPr>
          <w:rFonts w:ascii="Times New Roman" w:eastAsia="Times New Roman" w:hAnsi="Times New Roman" w:cs="Times New Roman"/>
        </w:rPr>
        <w:t xml:space="preserve"> the non-adversarial nature of the RPD.</w:t>
      </w:r>
    </w:p>
    <w:p w14:paraId="7D1BE4CE" w14:textId="1D589D02" w:rsidR="00A02EF0" w:rsidRPr="004B5B1D" w:rsidRDefault="00A02EF0"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b/>
          <w:bCs/>
        </w:rPr>
      </w:pPr>
      <w:r w:rsidRPr="004B5B1D">
        <w:rPr>
          <w:rFonts w:ascii="Times New Roman" w:eastAsia="Times New Roman" w:hAnsi="Times New Roman" w:cs="Times New Roman"/>
        </w:rPr>
        <w:t>Despite Ms. Barbosa Reis’ concerns, the Board Member admitted the Unsolicited Information</w:t>
      </w:r>
      <w:r w:rsidR="00DF186E" w:rsidRPr="004B5B1D">
        <w:rPr>
          <w:rFonts w:ascii="Times New Roman" w:eastAsia="Times New Roman" w:hAnsi="Times New Roman" w:cs="Times New Roman"/>
        </w:rPr>
        <w:t xml:space="preserve"> and Transcript evidence</w:t>
      </w:r>
      <w:r w:rsidRPr="004B5B1D">
        <w:rPr>
          <w:rFonts w:ascii="Times New Roman" w:eastAsia="Times New Roman" w:hAnsi="Times New Roman" w:cs="Times New Roman"/>
        </w:rPr>
        <w:t xml:space="preserve">. The Board Member claimed </w:t>
      </w:r>
      <w:r w:rsidR="00EE1F42" w:rsidRPr="004B5B1D">
        <w:rPr>
          <w:rFonts w:ascii="Times New Roman" w:eastAsia="Times New Roman" w:hAnsi="Times New Roman" w:cs="Times New Roman"/>
        </w:rPr>
        <w:t xml:space="preserve">that </w:t>
      </w:r>
      <w:r w:rsidRPr="004B5B1D">
        <w:rPr>
          <w:rFonts w:ascii="Times New Roman" w:eastAsia="Times New Roman" w:hAnsi="Times New Roman" w:cs="Times New Roman"/>
        </w:rPr>
        <w:t xml:space="preserve">testing the evidence was optional and said the evidence </w:t>
      </w:r>
      <w:r w:rsidR="00A6509C" w:rsidRPr="004B5B1D">
        <w:rPr>
          <w:rFonts w:ascii="Times New Roman" w:eastAsia="Times New Roman" w:hAnsi="Times New Roman" w:cs="Times New Roman"/>
        </w:rPr>
        <w:t>was</w:t>
      </w:r>
      <w:r w:rsidRPr="004B5B1D">
        <w:rPr>
          <w:rFonts w:ascii="Times New Roman" w:eastAsia="Times New Roman" w:hAnsi="Times New Roman" w:cs="Times New Roman"/>
        </w:rPr>
        <w:t xml:space="preserve"> properly tested because the Minister and a Board Member were present at the July </w:t>
      </w:r>
      <w:r w:rsidR="00AB1449" w:rsidRPr="004B5B1D">
        <w:rPr>
          <w:rFonts w:ascii="Times New Roman" w:eastAsia="Times New Roman" w:hAnsi="Times New Roman" w:cs="Times New Roman"/>
        </w:rPr>
        <w:t>h</w:t>
      </w:r>
      <w:r w:rsidRPr="004B5B1D">
        <w:rPr>
          <w:rFonts w:ascii="Times New Roman" w:eastAsia="Times New Roman" w:hAnsi="Times New Roman" w:cs="Times New Roman"/>
        </w:rPr>
        <w:t xml:space="preserve">earing and could have cross-examined </w:t>
      </w:r>
      <w:r w:rsidR="00811923"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Pr="004B5B1D">
        <w:rPr>
          <w:rFonts w:ascii="Times New Roman" w:eastAsia="Times New Roman" w:hAnsi="Times New Roman" w:cs="Times New Roman"/>
        </w:rPr>
        <w:t xml:space="preserve"> there.</w:t>
      </w:r>
    </w:p>
    <w:p w14:paraId="603C8DD3" w14:textId="4068AA9F" w:rsidR="00A02EF0" w:rsidRPr="004B5B1D" w:rsidRDefault="00A02EF0"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b/>
          <w:bCs/>
        </w:rPr>
      </w:pPr>
      <w:r w:rsidRPr="004B5B1D">
        <w:rPr>
          <w:rFonts w:ascii="Times New Roman" w:eastAsia="Times New Roman" w:hAnsi="Times New Roman" w:cs="Times New Roman"/>
        </w:rPr>
        <w:t>Ms. Barbosa</w:t>
      </w:r>
      <w:r w:rsidR="007876FE" w:rsidRPr="004B5B1D">
        <w:rPr>
          <w:rFonts w:ascii="Times New Roman" w:eastAsia="Times New Roman" w:hAnsi="Times New Roman" w:cs="Times New Roman"/>
        </w:rPr>
        <w:t xml:space="preserve"> Rei</w:t>
      </w:r>
      <w:r w:rsidRPr="004B5B1D">
        <w:rPr>
          <w:rFonts w:ascii="Times New Roman" w:eastAsia="Times New Roman" w:hAnsi="Times New Roman" w:cs="Times New Roman"/>
        </w:rPr>
        <w:t>s</w:t>
      </w:r>
      <w:r w:rsidR="007876FE" w:rsidRPr="004B5B1D">
        <w:rPr>
          <w:rFonts w:ascii="Times New Roman" w:eastAsia="Times New Roman" w:hAnsi="Times New Roman" w:cs="Times New Roman"/>
        </w:rPr>
        <w:t>’</w:t>
      </w:r>
      <w:r w:rsidRPr="004B5B1D">
        <w:rPr>
          <w:rFonts w:ascii="Times New Roman" w:eastAsia="Times New Roman" w:hAnsi="Times New Roman" w:cs="Times New Roman"/>
        </w:rPr>
        <w:t xml:space="preserve"> evidence included letters from neighbors who observed </w:t>
      </w:r>
      <w:r w:rsidR="00543B12"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Pr="004B5B1D">
        <w:rPr>
          <w:rFonts w:ascii="Times New Roman" w:eastAsia="Times New Roman" w:hAnsi="Times New Roman" w:cs="Times New Roman"/>
        </w:rPr>
        <w:t>’s pattern of emotional and physical abuse, and a psychiatric diagnosis of Major Depressive Disorder</w:t>
      </w:r>
      <w:r w:rsidR="007538E8" w:rsidRPr="004B5B1D">
        <w:rPr>
          <w:rFonts w:ascii="Times New Roman" w:eastAsia="Times New Roman" w:hAnsi="Times New Roman" w:cs="Times New Roman"/>
        </w:rPr>
        <w:t xml:space="preserve"> (“MDD”)</w:t>
      </w:r>
      <w:r w:rsidRPr="004B5B1D">
        <w:rPr>
          <w:rFonts w:ascii="Times New Roman" w:eastAsia="Times New Roman" w:hAnsi="Times New Roman" w:cs="Times New Roman"/>
        </w:rPr>
        <w:t xml:space="preserve"> and</w:t>
      </w:r>
      <w:r w:rsidR="007538E8" w:rsidRPr="004B5B1D">
        <w:rPr>
          <w:rFonts w:ascii="Times New Roman" w:eastAsia="Times New Roman" w:hAnsi="Times New Roman" w:cs="Times New Roman"/>
        </w:rPr>
        <w:t xml:space="preserve"> Post-Traumatic Stress Disorder</w:t>
      </w:r>
      <w:r w:rsidRPr="004B5B1D">
        <w:rPr>
          <w:rFonts w:ascii="Times New Roman" w:eastAsia="Times New Roman" w:hAnsi="Times New Roman" w:cs="Times New Roman"/>
        </w:rPr>
        <w:t xml:space="preserve"> </w:t>
      </w:r>
      <w:r w:rsidR="007538E8" w:rsidRPr="004B5B1D">
        <w:rPr>
          <w:rFonts w:ascii="Times New Roman" w:eastAsia="Times New Roman" w:hAnsi="Times New Roman" w:cs="Times New Roman"/>
        </w:rPr>
        <w:t>(“</w:t>
      </w:r>
      <w:r w:rsidRPr="004B5B1D">
        <w:rPr>
          <w:rFonts w:ascii="Times New Roman" w:eastAsia="Times New Roman" w:hAnsi="Times New Roman" w:cs="Times New Roman"/>
        </w:rPr>
        <w:t>PTSD</w:t>
      </w:r>
      <w:r w:rsidR="007538E8" w:rsidRPr="004B5B1D">
        <w:rPr>
          <w:rFonts w:ascii="Times New Roman" w:eastAsia="Times New Roman" w:hAnsi="Times New Roman" w:cs="Times New Roman"/>
        </w:rPr>
        <w:t>”)</w:t>
      </w:r>
      <w:r w:rsidR="001A1835" w:rsidRPr="004B5B1D">
        <w:rPr>
          <w:rFonts w:ascii="Times New Roman" w:eastAsia="Times New Roman" w:hAnsi="Times New Roman" w:cs="Times New Roman"/>
        </w:rPr>
        <w:t xml:space="preserve">. </w:t>
      </w:r>
      <w:r w:rsidR="00357438" w:rsidRPr="004B5B1D">
        <w:rPr>
          <w:rFonts w:ascii="Times New Roman" w:eastAsia="Times New Roman" w:hAnsi="Times New Roman" w:cs="Times New Roman"/>
          <w:b/>
          <w:bCs/>
        </w:rPr>
        <w:t xml:space="preserve"> </w:t>
      </w:r>
      <w:r w:rsidR="00096CBC" w:rsidRPr="004B5B1D">
        <w:rPr>
          <w:rFonts w:ascii="Times New Roman" w:eastAsia="Times New Roman" w:hAnsi="Times New Roman" w:cs="Times New Roman"/>
        </w:rPr>
        <w:t>Despite this, t</w:t>
      </w:r>
      <w:r w:rsidRPr="004B5B1D">
        <w:rPr>
          <w:rFonts w:ascii="Times New Roman" w:eastAsia="Times New Roman" w:hAnsi="Times New Roman" w:cs="Times New Roman"/>
        </w:rPr>
        <w:t xml:space="preserve">he </w:t>
      </w:r>
      <w:r w:rsidR="00206835" w:rsidRPr="004B5B1D">
        <w:rPr>
          <w:rFonts w:ascii="Times New Roman" w:eastAsia="Times New Roman" w:hAnsi="Times New Roman" w:cs="Times New Roman"/>
        </w:rPr>
        <w:t xml:space="preserve">RPD </w:t>
      </w:r>
      <w:r w:rsidRPr="004B5B1D">
        <w:rPr>
          <w:rFonts w:ascii="Times New Roman" w:eastAsia="Times New Roman" w:hAnsi="Times New Roman" w:cs="Times New Roman"/>
        </w:rPr>
        <w:t xml:space="preserve">Board Member </w:t>
      </w:r>
      <w:r w:rsidR="00DB23C9" w:rsidRPr="004B5B1D">
        <w:rPr>
          <w:rFonts w:ascii="Times New Roman" w:eastAsia="Times New Roman" w:hAnsi="Times New Roman" w:cs="Times New Roman"/>
        </w:rPr>
        <w:t>found</w:t>
      </w:r>
      <w:r w:rsidRPr="004B5B1D">
        <w:rPr>
          <w:rFonts w:ascii="Times New Roman" w:eastAsia="Times New Roman" w:hAnsi="Times New Roman" w:cs="Times New Roman"/>
        </w:rPr>
        <w:t xml:space="preserve"> that Ms. Barbosa Reis was not credible because </w:t>
      </w:r>
      <w:r w:rsidR="00206835" w:rsidRPr="004B5B1D">
        <w:rPr>
          <w:rFonts w:ascii="Times New Roman" w:eastAsia="Times New Roman" w:hAnsi="Times New Roman" w:cs="Times New Roman"/>
        </w:rPr>
        <w:t>her</w:t>
      </w:r>
      <w:r w:rsidR="00B32395" w:rsidRPr="004B5B1D">
        <w:rPr>
          <w:rFonts w:ascii="Times New Roman" w:eastAsia="Times New Roman" w:hAnsi="Times New Roman" w:cs="Times New Roman"/>
        </w:rPr>
        <w:t xml:space="preserve"> descriptions of </w:t>
      </w:r>
      <w:r w:rsidR="00206835" w:rsidRPr="004B5B1D">
        <w:rPr>
          <w:rFonts w:ascii="Times New Roman" w:eastAsia="Times New Roman" w:hAnsi="Times New Roman" w:cs="Times New Roman"/>
        </w:rPr>
        <w:t xml:space="preserve">her husband’s </w:t>
      </w:r>
      <w:r w:rsidR="00B32395" w:rsidRPr="004B5B1D">
        <w:rPr>
          <w:rFonts w:ascii="Times New Roman" w:eastAsia="Times New Roman" w:hAnsi="Times New Roman" w:cs="Times New Roman"/>
        </w:rPr>
        <w:t>abuse</w:t>
      </w:r>
      <w:r w:rsidR="00206835" w:rsidRPr="004B5B1D">
        <w:rPr>
          <w:rFonts w:ascii="Times New Roman" w:eastAsia="Times New Roman" w:hAnsi="Times New Roman" w:cs="Times New Roman"/>
        </w:rPr>
        <w:t xml:space="preserve"> towards the children in her independent</w:t>
      </w:r>
      <w:r w:rsidR="00B32395" w:rsidRPr="004B5B1D">
        <w:rPr>
          <w:rFonts w:ascii="Times New Roman" w:eastAsia="Times New Roman" w:hAnsi="Times New Roman" w:cs="Times New Roman"/>
        </w:rPr>
        <w:t xml:space="preserve"> BOC </w:t>
      </w:r>
      <w:r w:rsidR="00206835" w:rsidRPr="004B5B1D">
        <w:rPr>
          <w:rFonts w:ascii="Times New Roman" w:eastAsia="Times New Roman" w:hAnsi="Times New Roman" w:cs="Times New Roman"/>
        </w:rPr>
        <w:t>lack</w:t>
      </w:r>
      <w:r w:rsidR="00A6509C" w:rsidRPr="004B5B1D">
        <w:rPr>
          <w:rFonts w:ascii="Times New Roman" w:eastAsia="Times New Roman" w:hAnsi="Times New Roman" w:cs="Times New Roman"/>
        </w:rPr>
        <w:t>ed</w:t>
      </w:r>
      <w:r w:rsidR="00206835" w:rsidRPr="004B5B1D">
        <w:rPr>
          <w:rFonts w:ascii="Times New Roman" w:eastAsia="Times New Roman" w:hAnsi="Times New Roman" w:cs="Times New Roman"/>
        </w:rPr>
        <w:t xml:space="preserve"> specificity in comparison to her family law affidavit, which contained more detail about the abuse. </w:t>
      </w:r>
      <w:r w:rsidR="0089525A" w:rsidRPr="004B5B1D">
        <w:rPr>
          <w:rFonts w:ascii="Times New Roman" w:eastAsia="Times New Roman" w:hAnsi="Times New Roman" w:cs="Times New Roman"/>
        </w:rPr>
        <w:t>T</w:t>
      </w:r>
      <w:r w:rsidR="00B32395" w:rsidRPr="004B5B1D">
        <w:rPr>
          <w:rFonts w:ascii="Times New Roman" w:eastAsia="Times New Roman" w:hAnsi="Times New Roman" w:cs="Times New Roman"/>
        </w:rPr>
        <w:t>he RPD noted</w:t>
      </w:r>
      <w:r w:rsidR="00CE59D1" w:rsidRPr="004B5B1D">
        <w:rPr>
          <w:rFonts w:ascii="Times New Roman" w:eastAsia="Times New Roman" w:hAnsi="Times New Roman" w:cs="Times New Roman"/>
        </w:rPr>
        <w:t xml:space="preserve"> that </w:t>
      </w:r>
      <w:r w:rsidRPr="004B5B1D">
        <w:rPr>
          <w:rFonts w:ascii="Times New Roman" w:eastAsia="Times New Roman" w:hAnsi="Times New Roman" w:cs="Times New Roman"/>
        </w:rPr>
        <w:t xml:space="preserve">she believed the designated representative assigned to </w:t>
      </w:r>
      <w:r w:rsidR="0032151F" w:rsidRPr="004B5B1D">
        <w:rPr>
          <w:rFonts w:ascii="Times New Roman" w:eastAsia="Times New Roman" w:hAnsi="Times New Roman" w:cs="Times New Roman"/>
        </w:rPr>
        <w:t>her</w:t>
      </w:r>
      <w:r w:rsidRPr="004B5B1D">
        <w:rPr>
          <w:rFonts w:ascii="Times New Roman" w:eastAsia="Times New Roman" w:hAnsi="Times New Roman" w:cs="Times New Roman"/>
        </w:rPr>
        <w:t xml:space="preserve"> children for the hearing</w:t>
      </w:r>
      <w:r w:rsidR="0032151F" w:rsidRPr="004B5B1D">
        <w:rPr>
          <w:rFonts w:ascii="Times New Roman" w:eastAsia="Times New Roman" w:hAnsi="Times New Roman" w:cs="Times New Roman"/>
        </w:rPr>
        <w:t>,</w:t>
      </w:r>
      <w:r w:rsidRPr="004B5B1D">
        <w:rPr>
          <w:rFonts w:ascii="Times New Roman" w:eastAsia="Times New Roman" w:hAnsi="Times New Roman" w:cs="Times New Roman"/>
        </w:rPr>
        <w:t xml:space="preserve"> would submit a separate BOC for the children</w:t>
      </w:r>
      <w:r w:rsidR="005B180B" w:rsidRPr="004B5B1D">
        <w:rPr>
          <w:rFonts w:ascii="Times New Roman" w:eastAsia="Times New Roman" w:hAnsi="Times New Roman" w:cs="Times New Roman"/>
        </w:rPr>
        <w:t>.</w:t>
      </w:r>
      <w:r w:rsidRPr="004B5B1D">
        <w:rPr>
          <w:rFonts w:ascii="Times New Roman" w:eastAsia="Times New Roman" w:hAnsi="Times New Roman" w:cs="Times New Roman"/>
        </w:rPr>
        <w:t xml:space="preserve"> </w:t>
      </w:r>
      <w:r w:rsidR="005B180B" w:rsidRPr="004B5B1D">
        <w:rPr>
          <w:rFonts w:ascii="Times New Roman" w:eastAsia="Times New Roman" w:hAnsi="Times New Roman" w:cs="Times New Roman"/>
        </w:rPr>
        <w:t xml:space="preserve">She also believed she </w:t>
      </w:r>
      <w:r w:rsidRPr="004B5B1D">
        <w:rPr>
          <w:rFonts w:ascii="Times New Roman" w:eastAsia="Times New Roman" w:hAnsi="Times New Roman" w:cs="Times New Roman"/>
        </w:rPr>
        <w:t>would have an opportunity at the hearing itself to answer any additional questions.</w:t>
      </w:r>
    </w:p>
    <w:p w14:paraId="3DBF4800" w14:textId="3F0EDFA5" w:rsidR="00A02EF0" w:rsidRPr="004B5B1D" w:rsidRDefault="00A02EF0" w:rsidP="00A02EF0">
      <w:pPr>
        <w:pStyle w:val="ListParagraph"/>
        <w:spacing w:before="100" w:beforeAutospacing="1" w:after="100" w:afterAutospacing="1" w:line="480" w:lineRule="auto"/>
        <w:ind w:left="0"/>
        <w:rPr>
          <w:rFonts w:ascii="Times New Roman" w:eastAsia="Times New Roman" w:hAnsi="Times New Roman" w:cs="Times New Roman"/>
          <w:b/>
          <w:bCs/>
          <w:i/>
          <w:iCs/>
        </w:rPr>
      </w:pPr>
      <w:r w:rsidRPr="004B5B1D">
        <w:rPr>
          <w:rFonts w:ascii="Times New Roman" w:eastAsia="Times New Roman" w:hAnsi="Times New Roman" w:cs="Times New Roman"/>
          <w:b/>
          <w:bCs/>
          <w:i/>
          <w:iCs/>
        </w:rPr>
        <w:t>Federal Court of Canada Decision</w:t>
      </w:r>
    </w:p>
    <w:p w14:paraId="32F2D3D2" w14:textId="5CE2F2D4" w:rsidR="00A02EF0" w:rsidRPr="004B5B1D" w:rsidRDefault="00A02EF0"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eastAsia="Times New Roman" w:hAnsi="Times New Roman" w:cs="Times New Roman"/>
        </w:rPr>
        <w:t xml:space="preserve"> The Federal Court found the RPD erred </w:t>
      </w:r>
      <w:r w:rsidRPr="004B5B1D">
        <w:rPr>
          <w:rFonts w:ascii="Times New Roman" w:hAnsi="Times New Roman" w:cs="Times New Roman"/>
        </w:rPr>
        <w:t>by admitting</w:t>
      </w:r>
      <w:r w:rsidR="001C0FC8" w:rsidRPr="004B5B1D">
        <w:rPr>
          <w:rFonts w:ascii="Times New Roman" w:hAnsi="Times New Roman" w:cs="Times New Roman"/>
        </w:rPr>
        <w:t xml:space="preserve"> and relying on the </w:t>
      </w:r>
      <w:r w:rsidR="00872C30" w:rsidRPr="004B5B1D">
        <w:rPr>
          <w:rFonts w:ascii="Times New Roman" w:hAnsi="Times New Roman" w:cs="Times New Roman"/>
        </w:rPr>
        <w:t>Unsolicited</w:t>
      </w:r>
      <w:r w:rsidR="001C0FC8" w:rsidRPr="004B5B1D">
        <w:rPr>
          <w:rFonts w:ascii="Times New Roman" w:hAnsi="Times New Roman" w:cs="Times New Roman"/>
        </w:rPr>
        <w:t xml:space="preserve"> Information and </w:t>
      </w:r>
      <w:r w:rsidRPr="004B5B1D">
        <w:rPr>
          <w:rFonts w:ascii="Times New Roman" w:hAnsi="Times New Roman" w:cs="Times New Roman"/>
        </w:rPr>
        <w:t xml:space="preserve">Transcript </w:t>
      </w:r>
      <w:r w:rsidR="001C0FC8" w:rsidRPr="004B5B1D">
        <w:rPr>
          <w:rFonts w:ascii="Times New Roman" w:hAnsi="Times New Roman" w:cs="Times New Roman"/>
        </w:rPr>
        <w:t xml:space="preserve">evidence filed by the agent of persecution. The </w:t>
      </w:r>
      <w:r w:rsidRPr="004B5B1D">
        <w:rPr>
          <w:rFonts w:ascii="Times New Roman" w:hAnsi="Times New Roman" w:cs="Times New Roman"/>
        </w:rPr>
        <w:t>Unsolicited Information</w:t>
      </w:r>
      <w:r w:rsidR="007F6A83" w:rsidRPr="004B5B1D">
        <w:rPr>
          <w:rFonts w:ascii="Times New Roman" w:hAnsi="Times New Roman" w:cs="Times New Roman"/>
        </w:rPr>
        <w:t xml:space="preserve"> </w:t>
      </w:r>
      <w:r w:rsidR="00ED6E4E" w:rsidRPr="004B5B1D">
        <w:rPr>
          <w:rFonts w:ascii="Times New Roman" w:hAnsi="Times New Roman" w:cs="Times New Roman"/>
        </w:rPr>
        <w:t xml:space="preserve">and Transcript evidence were untested, and the RPD erred by relying on this </w:t>
      </w:r>
      <w:r w:rsidRPr="004B5B1D">
        <w:rPr>
          <w:rFonts w:ascii="Times New Roman" w:hAnsi="Times New Roman" w:cs="Times New Roman"/>
        </w:rPr>
        <w:t xml:space="preserve">body of evidence to </w:t>
      </w:r>
      <w:r w:rsidR="004A5C85" w:rsidRPr="004B5B1D">
        <w:rPr>
          <w:rFonts w:ascii="Times New Roman" w:hAnsi="Times New Roman" w:cs="Times New Roman"/>
        </w:rPr>
        <w:t>determine that</w:t>
      </w:r>
      <w:r w:rsidRPr="004B5B1D">
        <w:rPr>
          <w:rFonts w:ascii="Times New Roman" w:hAnsi="Times New Roman" w:cs="Times New Roman"/>
        </w:rPr>
        <w:t xml:space="preserve"> Ms. Barbosa </w:t>
      </w:r>
      <w:r w:rsidR="007876FE" w:rsidRPr="004B5B1D">
        <w:rPr>
          <w:rFonts w:ascii="Times New Roman" w:hAnsi="Times New Roman" w:cs="Times New Roman"/>
        </w:rPr>
        <w:t>Reis l</w:t>
      </w:r>
      <w:r w:rsidRPr="004B5B1D">
        <w:rPr>
          <w:rFonts w:ascii="Times New Roman" w:hAnsi="Times New Roman" w:cs="Times New Roman"/>
        </w:rPr>
        <w:t>acked credibility. </w:t>
      </w:r>
    </w:p>
    <w:p w14:paraId="0D6128B5" w14:textId="1D254A9A" w:rsidR="009A6297" w:rsidRPr="004B5B1D" w:rsidRDefault="009A6297" w:rsidP="0068680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lastRenderedPageBreak/>
        <w:t xml:space="preserve">The Federal Court </w:t>
      </w:r>
      <w:r w:rsidR="00AE2286" w:rsidRPr="004B5B1D">
        <w:rPr>
          <w:rFonts w:ascii="Times New Roman" w:eastAsia="Times New Roman" w:hAnsi="Times New Roman" w:cs="Times New Roman"/>
        </w:rPr>
        <w:t xml:space="preserve">determined </w:t>
      </w:r>
      <w:r w:rsidRPr="004B5B1D">
        <w:rPr>
          <w:rFonts w:ascii="Times New Roman" w:eastAsia="Times New Roman" w:hAnsi="Times New Roman" w:cs="Times New Roman"/>
        </w:rPr>
        <w:t xml:space="preserve">that the Transcript and Unsolicited Information could not be tested properly by way of cross-examination without calling the agent of persecution, </w:t>
      </w:r>
      <w:r w:rsidR="00352002" w:rsidRPr="004B5B1D">
        <w:rPr>
          <w:rFonts w:ascii="Times New Roman" w:eastAsia="Times New Roman" w:hAnsi="Times New Roman" w:cs="Times New Roman"/>
        </w:rPr>
        <w:t>her</w:t>
      </w:r>
      <w:r w:rsidR="00EE7FD3" w:rsidRPr="004B5B1D">
        <w:rPr>
          <w:rFonts w:ascii="Times New Roman" w:eastAsia="Times New Roman" w:hAnsi="Times New Roman" w:cs="Times New Roman"/>
        </w:rPr>
        <w:t xml:space="preserve"> husband</w:t>
      </w:r>
      <w:r w:rsidRPr="004B5B1D">
        <w:rPr>
          <w:rFonts w:ascii="Times New Roman" w:eastAsia="Times New Roman" w:hAnsi="Times New Roman" w:cs="Times New Roman"/>
        </w:rPr>
        <w:t>, as a witness to the proceedings. The Federal Court pointed to the inquisitorial and non-adversarial nature of the RPD</w:t>
      </w:r>
      <w:r w:rsidR="00E84820" w:rsidRPr="004B5B1D">
        <w:rPr>
          <w:rFonts w:ascii="Times New Roman" w:eastAsia="Times New Roman" w:hAnsi="Times New Roman" w:cs="Times New Roman"/>
        </w:rPr>
        <w:t xml:space="preserve"> and </w:t>
      </w:r>
      <w:r w:rsidR="00043012" w:rsidRPr="004B5B1D">
        <w:rPr>
          <w:rFonts w:ascii="Times New Roman" w:eastAsia="Times New Roman" w:hAnsi="Times New Roman" w:cs="Times New Roman"/>
        </w:rPr>
        <w:t xml:space="preserve">found </w:t>
      </w:r>
      <w:r w:rsidR="00E84820" w:rsidRPr="004B5B1D">
        <w:rPr>
          <w:rFonts w:ascii="Times New Roman" w:eastAsia="Times New Roman" w:hAnsi="Times New Roman" w:cs="Times New Roman"/>
        </w:rPr>
        <w:t>that it</w:t>
      </w:r>
      <w:r w:rsidRPr="004B5B1D">
        <w:rPr>
          <w:rFonts w:ascii="Times New Roman" w:eastAsia="Times New Roman" w:hAnsi="Times New Roman" w:cs="Times New Roman"/>
        </w:rPr>
        <w:t xml:space="preserve"> </w:t>
      </w:r>
      <w:r w:rsidR="00043012" w:rsidRPr="004B5B1D">
        <w:rPr>
          <w:rFonts w:ascii="Times New Roman" w:eastAsia="Times New Roman" w:hAnsi="Times New Roman" w:cs="Times New Roman"/>
        </w:rPr>
        <w:t>failed to consider</w:t>
      </w:r>
      <w:r w:rsidRPr="004B5B1D">
        <w:rPr>
          <w:rFonts w:ascii="Times New Roman" w:eastAsia="Times New Roman" w:hAnsi="Times New Roman" w:cs="Times New Roman"/>
        </w:rPr>
        <w:t xml:space="preserve"> the </w:t>
      </w:r>
      <w:r w:rsidR="00254D7D" w:rsidRPr="004B5B1D">
        <w:rPr>
          <w:rFonts w:ascii="Times New Roman" w:eastAsia="Times New Roman" w:hAnsi="Times New Roman" w:cs="Times New Roman"/>
        </w:rPr>
        <w:t>absurdity</w:t>
      </w:r>
      <w:r w:rsidRPr="004B5B1D">
        <w:rPr>
          <w:rFonts w:ascii="Times New Roman" w:eastAsia="Times New Roman" w:hAnsi="Times New Roman" w:cs="Times New Roman"/>
        </w:rPr>
        <w:t xml:space="preserve"> of putting the allegations to the alleged agent of persecution for </w:t>
      </w:r>
      <w:r w:rsidR="00A6509C" w:rsidRPr="004B5B1D">
        <w:rPr>
          <w:rFonts w:ascii="Times New Roman" w:eastAsia="Times New Roman" w:hAnsi="Times New Roman" w:cs="Times New Roman"/>
        </w:rPr>
        <w:t>his</w:t>
      </w:r>
      <w:r w:rsidRPr="004B5B1D">
        <w:rPr>
          <w:rFonts w:ascii="Times New Roman" w:eastAsia="Times New Roman" w:hAnsi="Times New Roman" w:cs="Times New Roman"/>
        </w:rPr>
        <w:t xml:space="preserve"> response.</w:t>
      </w:r>
      <w:r w:rsidR="009F6026" w:rsidRPr="004B5B1D">
        <w:rPr>
          <w:rStyle w:val="FootnoteReference"/>
          <w:rFonts w:ascii="Times New Roman" w:eastAsia="Times New Roman" w:hAnsi="Times New Roman" w:cs="Times New Roman"/>
          <w:i/>
          <w:iCs/>
        </w:rPr>
        <w:footnoteReference w:id="7"/>
      </w:r>
      <w:r w:rsidR="00043012" w:rsidRPr="004B5B1D">
        <w:rPr>
          <w:rFonts w:ascii="Times New Roman" w:eastAsia="Times New Roman" w:hAnsi="Times New Roman" w:cs="Times New Roman"/>
        </w:rPr>
        <w:t xml:space="preserve"> </w:t>
      </w:r>
      <w:r w:rsidRPr="004B5B1D">
        <w:rPr>
          <w:rFonts w:ascii="Times New Roman" w:eastAsia="Times New Roman" w:hAnsi="Times New Roman" w:cs="Times New Roman"/>
        </w:rPr>
        <w:t xml:space="preserve">The Federal Court </w:t>
      </w:r>
      <w:r w:rsidR="00E84820" w:rsidRPr="004B5B1D">
        <w:rPr>
          <w:rFonts w:ascii="Times New Roman" w:eastAsia="Times New Roman" w:hAnsi="Times New Roman" w:cs="Times New Roman"/>
        </w:rPr>
        <w:t xml:space="preserve">also </w:t>
      </w:r>
      <w:r w:rsidRPr="004B5B1D">
        <w:rPr>
          <w:rFonts w:ascii="Times New Roman" w:eastAsia="Times New Roman" w:hAnsi="Times New Roman" w:cs="Times New Roman"/>
        </w:rPr>
        <w:t>held th</w:t>
      </w:r>
      <w:r w:rsidR="00F21AE0" w:rsidRPr="004B5B1D">
        <w:rPr>
          <w:rFonts w:ascii="Times New Roman" w:eastAsia="Times New Roman" w:hAnsi="Times New Roman" w:cs="Times New Roman"/>
        </w:rPr>
        <w:t>at the</w:t>
      </w:r>
      <w:r w:rsidRPr="004B5B1D">
        <w:rPr>
          <w:rFonts w:ascii="Times New Roman" w:eastAsia="Times New Roman" w:hAnsi="Times New Roman" w:cs="Times New Roman"/>
        </w:rPr>
        <w:t xml:space="preserve"> RPD </w:t>
      </w:r>
      <w:r w:rsidRPr="004B5B1D">
        <w:rPr>
          <w:rFonts w:ascii="Times New Roman" w:hAnsi="Times New Roman" w:cs="Times New Roman"/>
        </w:rPr>
        <w:t xml:space="preserve">failed to provide adequate reasons for </w:t>
      </w:r>
      <w:r w:rsidR="00FE432D" w:rsidRPr="004B5B1D">
        <w:rPr>
          <w:rFonts w:ascii="Times New Roman" w:hAnsi="Times New Roman" w:cs="Times New Roman"/>
        </w:rPr>
        <w:t>preferring</w:t>
      </w:r>
      <w:r w:rsidR="00F10EB3" w:rsidRPr="004B5B1D">
        <w:rPr>
          <w:rFonts w:ascii="Times New Roman" w:hAnsi="Times New Roman" w:cs="Times New Roman"/>
        </w:rPr>
        <w:t xml:space="preserve"> </w:t>
      </w:r>
      <w:r w:rsidR="00CE67F3" w:rsidRPr="004B5B1D">
        <w:rPr>
          <w:rFonts w:ascii="Times New Roman" w:hAnsi="Times New Roman" w:cs="Times New Roman"/>
        </w:rPr>
        <w:t>her</w:t>
      </w:r>
      <w:r w:rsidR="00EE7FD3" w:rsidRPr="004B5B1D">
        <w:rPr>
          <w:rFonts w:ascii="Times New Roman" w:hAnsi="Times New Roman" w:cs="Times New Roman"/>
        </w:rPr>
        <w:t xml:space="preserve"> husband</w:t>
      </w:r>
      <w:r w:rsidRPr="004B5B1D">
        <w:rPr>
          <w:rFonts w:ascii="Times New Roman" w:hAnsi="Times New Roman" w:cs="Times New Roman"/>
        </w:rPr>
        <w:t>’s evidence</w:t>
      </w:r>
      <w:r w:rsidR="00F10EB3" w:rsidRPr="004B5B1D">
        <w:rPr>
          <w:rFonts w:ascii="Times New Roman" w:hAnsi="Times New Roman" w:cs="Times New Roman"/>
        </w:rPr>
        <w:t xml:space="preserve"> </w:t>
      </w:r>
      <w:r w:rsidR="00FE432D" w:rsidRPr="004B5B1D">
        <w:rPr>
          <w:rFonts w:ascii="Times New Roman" w:hAnsi="Times New Roman" w:cs="Times New Roman"/>
        </w:rPr>
        <w:t xml:space="preserve">and why </w:t>
      </w:r>
      <w:r w:rsidRPr="004B5B1D">
        <w:rPr>
          <w:rFonts w:ascii="Times New Roman" w:hAnsi="Times New Roman" w:cs="Times New Roman"/>
        </w:rPr>
        <w:t>Ms. Barbosa Reis’ evidence was</w:t>
      </w:r>
      <w:r w:rsidR="00AD4396" w:rsidRPr="004B5B1D">
        <w:rPr>
          <w:rFonts w:ascii="Times New Roman" w:hAnsi="Times New Roman" w:cs="Times New Roman"/>
        </w:rPr>
        <w:t xml:space="preserve"> considered</w:t>
      </w:r>
      <w:r w:rsidRPr="004B5B1D">
        <w:rPr>
          <w:rFonts w:ascii="Times New Roman" w:hAnsi="Times New Roman" w:cs="Times New Roman"/>
        </w:rPr>
        <w:t xml:space="preserve"> unreliable. </w:t>
      </w:r>
    </w:p>
    <w:p w14:paraId="6363663E" w14:textId="0179255D" w:rsidR="009A6297" w:rsidRPr="004B5B1D" w:rsidRDefault="009A6297"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t xml:space="preserve">The Federal </w:t>
      </w:r>
      <w:r w:rsidR="005D37E7" w:rsidRPr="004B5B1D">
        <w:rPr>
          <w:rFonts w:ascii="Times New Roman" w:eastAsia="Times New Roman" w:hAnsi="Times New Roman" w:cs="Times New Roman"/>
        </w:rPr>
        <w:t>C</w:t>
      </w:r>
      <w:r w:rsidRPr="004B5B1D">
        <w:rPr>
          <w:rFonts w:ascii="Times New Roman" w:eastAsia="Times New Roman" w:hAnsi="Times New Roman" w:cs="Times New Roman"/>
        </w:rPr>
        <w:t xml:space="preserve">ourt judge certified the following question: </w:t>
      </w:r>
    </w:p>
    <w:p w14:paraId="5FDB207A" w14:textId="05670EB2" w:rsidR="009F6026" w:rsidRDefault="009A6297" w:rsidP="00992888">
      <w:pPr>
        <w:pStyle w:val="ListParagraph"/>
        <w:ind w:left="360"/>
        <w:jc w:val="both"/>
        <w:rPr>
          <w:rFonts w:ascii="Times New Roman" w:eastAsia="Times New Roman" w:hAnsi="Times New Roman" w:cs="Times New Roman"/>
          <w:i/>
          <w:iCs/>
        </w:rPr>
      </w:pPr>
      <w:r w:rsidRPr="004B5B1D">
        <w:rPr>
          <w:rFonts w:ascii="Times New Roman" w:eastAsia="Times New Roman" w:hAnsi="Times New Roman" w:cs="Times New Roman"/>
          <w:i/>
          <w:iCs/>
        </w:rPr>
        <w:t>Can unsolicited evidence, including affidavit evidence, filed by the agent of persecution be</w:t>
      </w:r>
      <w:r w:rsidR="00AB15B6" w:rsidRPr="004B5B1D">
        <w:rPr>
          <w:rFonts w:ascii="Times New Roman" w:eastAsia="Times New Roman" w:hAnsi="Times New Roman" w:cs="Times New Roman"/>
          <w:i/>
          <w:iCs/>
        </w:rPr>
        <w:t xml:space="preserve"> </w:t>
      </w:r>
      <w:r w:rsidRPr="004B5B1D">
        <w:rPr>
          <w:rFonts w:ascii="Times New Roman" w:eastAsia="Times New Roman" w:hAnsi="Times New Roman" w:cs="Times New Roman"/>
          <w:i/>
          <w:iCs/>
        </w:rPr>
        <w:t>admitted and considered by the Refugee Protection Division?</w:t>
      </w:r>
    </w:p>
    <w:p w14:paraId="5DAB82E0" w14:textId="77777777" w:rsidR="00992888" w:rsidRPr="00992888" w:rsidRDefault="00992888" w:rsidP="00992888">
      <w:pPr>
        <w:pStyle w:val="ListParagraph"/>
        <w:ind w:left="360"/>
        <w:jc w:val="both"/>
        <w:rPr>
          <w:rFonts w:ascii="Times New Roman" w:eastAsia="Times New Roman" w:hAnsi="Times New Roman" w:cs="Times New Roman"/>
        </w:rPr>
      </w:pPr>
    </w:p>
    <w:p w14:paraId="77564517" w14:textId="28EE7A6B" w:rsidR="009A6297" w:rsidRPr="004B5B1D" w:rsidRDefault="00CE24DB" w:rsidP="00CE24DB">
      <w:pPr>
        <w:spacing w:before="100" w:beforeAutospacing="1" w:after="100" w:afterAutospacing="1" w:line="480" w:lineRule="auto"/>
        <w:jc w:val="center"/>
        <w:rPr>
          <w:rFonts w:ascii="Times New Roman" w:eastAsia="Times New Roman" w:hAnsi="Times New Roman" w:cs="Times New Roman"/>
          <w:b/>
          <w:bCs/>
        </w:rPr>
      </w:pPr>
      <w:r w:rsidRPr="004B5B1D">
        <w:rPr>
          <w:rFonts w:ascii="Times New Roman" w:eastAsia="Times New Roman" w:hAnsi="Times New Roman" w:cs="Times New Roman"/>
          <w:b/>
          <w:bCs/>
        </w:rPr>
        <w:t>PART II: POINTS IN ISSUE</w:t>
      </w:r>
    </w:p>
    <w:p w14:paraId="6A76445A" w14:textId="4F3C134F" w:rsidR="00167A34" w:rsidRPr="004B5B1D" w:rsidRDefault="00DE28AF" w:rsidP="00C77334">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t xml:space="preserve">The RPD </w:t>
      </w:r>
      <w:r w:rsidR="00CD3B15" w:rsidRPr="004B5B1D">
        <w:rPr>
          <w:rFonts w:ascii="Times New Roman" w:eastAsia="Times New Roman" w:hAnsi="Times New Roman" w:cs="Times New Roman"/>
        </w:rPr>
        <w:t xml:space="preserve">cannot admit unsolicited </w:t>
      </w:r>
      <w:r w:rsidR="002D7667" w:rsidRPr="004B5B1D">
        <w:rPr>
          <w:rFonts w:ascii="Times New Roman" w:eastAsia="Times New Roman" w:hAnsi="Times New Roman" w:cs="Times New Roman"/>
        </w:rPr>
        <w:t>information</w:t>
      </w:r>
      <w:r w:rsidR="00CD3B15" w:rsidRPr="004B5B1D">
        <w:rPr>
          <w:rFonts w:ascii="Times New Roman" w:eastAsia="Times New Roman" w:hAnsi="Times New Roman" w:cs="Times New Roman"/>
        </w:rPr>
        <w:t xml:space="preserve">, including affidavit evidence, filed by the agent of persecution </w:t>
      </w:r>
      <w:r w:rsidR="00461F92" w:rsidRPr="004B5B1D">
        <w:rPr>
          <w:rFonts w:ascii="Times New Roman" w:eastAsia="Times New Roman" w:hAnsi="Times New Roman" w:cs="Times New Roman"/>
        </w:rPr>
        <w:t>for the following reasons</w:t>
      </w:r>
      <w:r w:rsidR="00167A34" w:rsidRPr="004B5B1D">
        <w:rPr>
          <w:rFonts w:ascii="Times New Roman" w:eastAsia="Times New Roman" w:hAnsi="Times New Roman" w:cs="Times New Roman"/>
        </w:rPr>
        <w:t xml:space="preserve">: </w:t>
      </w:r>
    </w:p>
    <w:p w14:paraId="391709D7" w14:textId="5C179965" w:rsidR="00167A34" w:rsidRPr="004B5B1D" w:rsidRDefault="00167A34" w:rsidP="00251A57">
      <w:pPr>
        <w:pStyle w:val="ListParagraph"/>
        <w:numPr>
          <w:ilvl w:val="1"/>
          <w:numId w:val="3"/>
        </w:numPr>
        <w:spacing w:before="100" w:beforeAutospacing="1" w:after="100" w:afterAutospacing="1" w:line="480" w:lineRule="auto"/>
        <w:jc w:val="both"/>
        <w:rPr>
          <w:rFonts w:ascii="Times New Roman" w:eastAsia="Times New Roman" w:hAnsi="Times New Roman" w:cs="Times New Roman"/>
        </w:rPr>
      </w:pPr>
      <w:r w:rsidRPr="004B5B1D">
        <w:rPr>
          <w:rFonts w:ascii="Times New Roman" w:eastAsia="Times New Roman" w:hAnsi="Times New Roman" w:cs="Times New Roman"/>
        </w:rPr>
        <w:t>T</w:t>
      </w:r>
      <w:r w:rsidR="00B3031B" w:rsidRPr="004B5B1D">
        <w:rPr>
          <w:rFonts w:ascii="Times New Roman" w:eastAsia="Times New Roman" w:hAnsi="Times New Roman" w:cs="Times New Roman"/>
        </w:rPr>
        <w:t xml:space="preserve">he </w:t>
      </w:r>
      <w:r w:rsidR="00CD3B15" w:rsidRPr="004B5B1D">
        <w:rPr>
          <w:rFonts w:ascii="Times New Roman" w:eastAsia="Times New Roman" w:hAnsi="Times New Roman" w:cs="Times New Roman"/>
        </w:rPr>
        <w:t>evidence could not be adequately tested</w:t>
      </w:r>
      <w:r w:rsidRPr="004B5B1D">
        <w:rPr>
          <w:rFonts w:ascii="Times New Roman" w:eastAsia="Times New Roman" w:hAnsi="Times New Roman" w:cs="Times New Roman"/>
        </w:rPr>
        <w:t xml:space="preserve">; </w:t>
      </w:r>
      <w:r w:rsidR="00B3031B" w:rsidRPr="004B5B1D">
        <w:rPr>
          <w:rFonts w:ascii="Times New Roman" w:eastAsia="Times New Roman" w:hAnsi="Times New Roman" w:cs="Times New Roman"/>
        </w:rPr>
        <w:t xml:space="preserve">and </w:t>
      </w:r>
    </w:p>
    <w:p w14:paraId="405A33B2" w14:textId="7156FFD2" w:rsidR="009B3C58" w:rsidRPr="004B5B1D" w:rsidRDefault="000C6B72" w:rsidP="00251A57">
      <w:pPr>
        <w:pStyle w:val="ListParagraph"/>
        <w:numPr>
          <w:ilvl w:val="1"/>
          <w:numId w:val="3"/>
        </w:numPr>
        <w:spacing w:before="100" w:beforeAutospacing="1" w:after="100" w:afterAutospacing="1" w:line="480" w:lineRule="auto"/>
        <w:jc w:val="both"/>
        <w:rPr>
          <w:rFonts w:ascii="Times New Roman" w:eastAsia="Times New Roman" w:hAnsi="Times New Roman" w:cs="Times New Roman"/>
        </w:rPr>
      </w:pPr>
      <w:r w:rsidRPr="004B5B1D">
        <w:rPr>
          <w:rFonts w:ascii="Times New Roman" w:eastAsia="Times New Roman" w:hAnsi="Times New Roman" w:cs="Times New Roman"/>
        </w:rPr>
        <w:t xml:space="preserve">Procedural fairness has not been met. </w:t>
      </w:r>
      <w:r w:rsidR="00CD3B15" w:rsidRPr="004B5B1D">
        <w:rPr>
          <w:rFonts w:ascii="Times New Roman" w:eastAsia="Times New Roman" w:hAnsi="Times New Roman" w:cs="Times New Roman"/>
        </w:rPr>
        <w:t xml:space="preserve"> </w:t>
      </w:r>
    </w:p>
    <w:p w14:paraId="5255A3D2" w14:textId="236B3C45" w:rsidR="00A02EF0" w:rsidRPr="004B5B1D" w:rsidRDefault="00EC01F2" w:rsidP="00C77334">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t xml:space="preserve">In the alternative, </w:t>
      </w:r>
      <w:r w:rsidR="005F5A52" w:rsidRPr="004B5B1D">
        <w:rPr>
          <w:rFonts w:ascii="Times New Roman" w:eastAsia="Times New Roman" w:hAnsi="Times New Roman" w:cs="Times New Roman"/>
        </w:rPr>
        <w:t>if this Court finds</w:t>
      </w:r>
      <w:r w:rsidR="00A9376C" w:rsidRPr="004B5B1D">
        <w:rPr>
          <w:rFonts w:ascii="Times New Roman" w:eastAsia="Times New Roman" w:hAnsi="Times New Roman" w:cs="Times New Roman"/>
        </w:rPr>
        <w:t xml:space="preserve"> that</w:t>
      </w:r>
      <w:r w:rsidR="005F5A52" w:rsidRPr="004B5B1D">
        <w:rPr>
          <w:rFonts w:ascii="Times New Roman" w:eastAsia="Times New Roman" w:hAnsi="Times New Roman" w:cs="Times New Roman"/>
        </w:rPr>
        <w:t xml:space="preserve"> the RPD </w:t>
      </w:r>
      <w:r w:rsidR="00E903FC" w:rsidRPr="004B5B1D">
        <w:rPr>
          <w:rFonts w:ascii="Times New Roman" w:eastAsia="Times New Roman" w:hAnsi="Times New Roman" w:cs="Times New Roman"/>
        </w:rPr>
        <w:t>did not err in admitting the Unsolicited Information and Transcript evidence, th</w:t>
      </w:r>
      <w:r w:rsidR="006B2F0E" w:rsidRPr="004B5B1D">
        <w:rPr>
          <w:rFonts w:ascii="Times New Roman" w:eastAsia="Times New Roman" w:hAnsi="Times New Roman" w:cs="Times New Roman"/>
        </w:rPr>
        <w:t>e</w:t>
      </w:r>
      <w:r w:rsidR="00E903FC" w:rsidRPr="004B5B1D">
        <w:rPr>
          <w:rFonts w:ascii="Times New Roman" w:eastAsia="Times New Roman" w:hAnsi="Times New Roman" w:cs="Times New Roman"/>
        </w:rPr>
        <w:t xml:space="preserve"> RPD nevertheless erred in its decision for the following reasons: </w:t>
      </w:r>
    </w:p>
    <w:p w14:paraId="1FFB8EE4" w14:textId="69B7C3C3" w:rsidR="005F5A52" w:rsidRPr="004B5B1D" w:rsidRDefault="0028409F" w:rsidP="00251A57">
      <w:pPr>
        <w:pStyle w:val="ListParagraph"/>
        <w:numPr>
          <w:ilvl w:val="1"/>
          <w:numId w:val="6"/>
        </w:numPr>
        <w:spacing w:before="100" w:beforeAutospacing="1" w:after="100" w:afterAutospacing="1" w:line="480" w:lineRule="auto"/>
        <w:jc w:val="both"/>
        <w:rPr>
          <w:rFonts w:ascii="Times New Roman" w:eastAsia="Times New Roman" w:hAnsi="Times New Roman" w:cs="Times New Roman"/>
        </w:rPr>
      </w:pPr>
      <w:r w:rsidRPr="004B5B1D">
        <w:rPr>
          <w:rFonts w:ascii="Times New Roman" w:eastAsia="Times New Roman" w:hAnsi="Times New Roman" w:cs="Times New Roman"/>
        </w:rPr>
        <w:t>The RPD</w:t>
      </w:r>
      <w:r w:rsidR="00A6509C" w:rsidRPr="004B5B1D">
        <w:rPr>
          <w:rFonts w:ascii="Times New Roman" w:eastAsia="Times New Roman" w:hAnsi="Times New Roman" w:cs="Times New Roman"/>
        </w:rPr>
        <w:t>’s preference for the agent of persecution’s evidence was inadequately explained;</w:t>
      </w:r>
      <w:r w:rsidRPr="004B5B1D">
        <w:rPr>
          <w:rFonts w:ascii="Times New Roman" w:eastAsia="Times New Roman" w:hAnsi="Times New Roman" w:cs="Times New Roman"/>
        </w:rPr>
        <w:t xml:space="preserve"> </w:t>
      </w:r>
    </w:p>
    <w:p w14:paraId="7225233C" w14:textId="2387ADB0" w:rsidR="005F5A52" w:rsidRPr="004B5B1D" w:rsidRDefault="0028409F" w:rsidP="00251A57">
      <w:pPr>
        <w:pStyle w:val="ListParagraph"/>
        <w:numPr>
          <w:ilvl w:val="1"/>
          <w:numId w:val="6"/>
        </w:numPr>
        <w:spacing w:before="100" w:beforeAutospacing="1" w:after="100" w:afterAutospacing="1" w:line="480" w:lineRule="auto"/>
        <w:jc w:val="both"/>
        <w:rPr>
          <w:rFonts w:ascii="Times New Roman" w:eastAsia="Times New Roman" w:hAnsi="Times New Roman" w:cs="Times New Roman"/>
        </w:rPr>
      </w:pPr>
      <w:r w:rsidRPr="004B5B1D">
        <w:rPr>
          <w:rFonts w:ascii="Times New Roman" w:eastAsia="Times New Roman" w:hAnsi="Times New Roman" w:cs="Times New Roman"/>
        </w:rPr>
        <w:t>The RPD m</w:t>
      </w:r>
      <w:r w:rsidR="005F5A52" w:rsidRPr="004B5B1D">
        <w:rPr>
          <w:rFonts w:ascii="Times New Roman" w:eastAsia="Times New Roman" w:hAnsi="Times New Roman" w:cs="Times New Roman"/>
        </w:rPr>
        <w:t xml:space="preserve">isapplied the </w:t>
      </w:r>
      <w:r w:rsidR="005F5A52" w:rsidRPr="004B5B1D">
        <w:rPr>
          <w:rFonts w:ascii="Times New Roman" w:eastAsia="Times New Roman" w:hAnsi="Times New Roman" w:cs="Times New Roman"/>
          <w:i/>
          <w:iCs/>
        </w:rPr>
        <w:t>Chair</w:t>
      </w:r>
      <w:r w:rsidR="00A6509C" w:rsidRPr="004B5B1D">
        <w:rPr>
          <w:rFonts w:ascii="Times New Roman" w:eastAsia="Times New Roman" w:hAnsi="Times New Roman" w:cs="Times New Roman"/>
          <w:i/>
          <w:iCs/>
        </w:rPr>
        <w:t>person</w:t>
      </w:r>
      <w:r w:rsidR="005F5A52" w:rsidRPr="004B5B1D">
        <w:rPr>
          <w:rFonts w:ascii="Times New Roman" w:eastAsia="Times New Roman" w:hAnsi="Times New Roman" w:cs="Times New Roman"/>
          <w:i/>
          <w:iCs/>
        </w:rPr>
        <w:t>’s Gender Guidelines</w:t>
      </w:r>
      <w:r w:rsidR="00E903FC" w:rsidRPr="004B5B1D">
        <w:rPr>
          <w:rFonts w:ascii="Times New Roman" w:eastAsia="Times New Roman" w:hAnsi="Times New Roman" w:cs="Times New Roman"/>
        </w:rPr>
        <w:t xml:space="preserve"> by: </w:t>
      </w:r>
    </w:p>
    <w:p w14:paraId="31BC0F97" w14:textId="1DB1E1E3" w:rsidR="00E903FC" w:rsidRPr="004B5B1D" w:rsidRDefault="00E903FC" w:rsidP="00251A57">
      <w:pPr>
        <w:pStyle w:val="ListParagraph"/>
        <w:spacing w:before="100" w:beforeAutospacing="1" w:after="100" w:afterAutospacing="1" w:line="480" w:lineRule="auto"/>
        <w:ind w:firstLine="720"/>
        <w:jc w:val="both"/>
        <w:rPr>
          <w:rFonts w:ascii="Times New Roman" w:eastAsia="Times New Roman" w:hAnsi="Times New Roman" w:cs="Times New Roman"/>
        </w:rPr>
      </w:pPr>
      <w:r w:rsidRPr="004B5B1D">
        <w:rPr>
          <w:rFonts w:ascii="Times New Roman" w:eastAsia="Times New Roman" w:hAnsi="Times New Roman" w:cs="Times New Roman"/>
        </w:rPr>
        <w:lastRenderedPageBreak/>
        <w:t xml:space="preserve">i) </w:t>
      </w:r>
      <w:r w:rsidRPr="004B5B1D">
        <w:rPr>
          <w:rFonts w:ascii="Times New Roman" w:eastAsia="Times New Roman" w:hAnsi="Times New Roman" w:cs="Times New Roman"/>
        </w:rPr>
        <w:tab/>
      </w:r>
      <w:r w:rsidR="00A6509C" w:rsidRPr="004B5B1D">
        <w:rPr>
          <w:rFonts w:ascii="Times New Roman" w:eastAsia="Times New Roman" w:hAnsi="Times New Roman" w:cs="Times New Roman"/>
        </w:rPr>
        <w:t>F</w:t>
      </w:r>
      <w:r w:rsidRPr="004B5B1D">
        <w:rPr>
          <w:rFonts w:ascii="Times New Roman" w:eastAsia="Times New Roman" w:hAnsi="Times New Roman" w:cs="Times New Roman"/>
        </w:rPr>
        <w:t>ailing to assess the Respondent’s psychiatric report</w:t>
      </w:r>
      <w:r w:rsidR="00A6509C" w:rsidRPr="004B5B1D">
        <w:rPr>
          <w:rFonts w:ascii="Times New Roman" w:eastAsia="Times New Roman" w:hAnsi="Times New Roman" w:cs="Times New Roman"/>
        </w:rPr>
        <w:t>; and</w:t>
      </w:r>
      <w:r w:rsidRPr="004B5B1D">
        <w:rPr>
          <w:rFonts w:ascii="Times New Roman" w:eastAsia="Times New Roman" w:hAnsi="Times New Roman" w:cs="Times New Roman"/>
        </w:rPr>
        <w:t xml:space="preserve"> </w:t>
      </w:r>
    </w:p>
    <w:p w14:paraId="486EFF3C" w14:textId="6CBE175C" w:rsidR="00E903FC" w:rsidRPr="004B5B1D" w:rsidRDefault="00E903FC" w:rsidP="00251A57">
      <w:pPr>
        <w:pStyle w:val="ListParagraph"/>
        <w:spacing w:before="100" w:beforeAutospacing="1" w:after="100" w:afterAutospacing="1" w:line="480" w:lineRule="auto"/>
        <w:ind w:left="2160" w:hanging="720"/>
        <w:jc w:val="both"/>
        <w:rPr>
          <w:rFonts w:ascii="Times New Roman" w:eastAsia="Times New Roman" w:hAnsi="Times New Roman" w:cs="Times New Roman"/>
        </w:rPr>
      </w:pPr>
      <w:r w:rsidRPr="004B5B1D">
        <w:rPr>
          <w:rFonts w:ascii="Times New Roman" w:eastAsia="Times New Roman" w:hAnsi="Times New Roman" w:cs="Times New Roman"/>
        </w:rPr>
        <w:t xml:space="preserve">ii) </w:t>
      </w:r>
      <w:r w:rsidRPr="004B5B1D">
        <w:rPr>
          <w:rFonts w:ascii="Times New Roman" w:eastAsia="Times New Roman" w:hAnsi="Times New Roman" w:cs="Times New Roman"/>
        </w:rPr>
        <w:tab/>
      </w:r>
      <w:r w:rsidR="00A6509C" w:rsidRPr="004B5B1D">
        <w:rPr>
          <w:rFonts w:ascii="Times New Roman" w:eastAsia="Times New Roman" w:hAnsi="Times New Roman" w:cs="Times New Roman"/>
        </w:rPr>
        <w:t>A</w:t>
      </w:r>
      <w:r w:rsidRPr="004B5B1D">
        <w:rPr>
          <w:rFonts w:ascii="Times New Roman" w:eastAsia="Times New Roman" w:hAnsi="Times New Roman" w:cs="Times New Roman"/>
        </w:rPr>
        <w:t xml:space="preserve">rriving at a negative credibility finding against the Respondent when her omission did not constitute a material inconsistency. </w:t>
      </w:r>
    </w:p>
    <w:p w14:paraId="1D23F233" w14:textId="79360AD2" w:rsidR="002F3DB6" w:rsidRPr="004B5B1D" w:rsidRDefault="002F3DB6" w:rsidP="002F3DB6">
      <w:pPr>
        <w:spacing w:before="100" w:beforeAutospacing="1" w:after="100" w:afterAutospacing="1" w:line="480" w:lineRule="auto"/>
        <w:jc w:val="center"/>
        <w:rPr>
          <w:rFonts w:ascii="Times New Roman" w:eastAsia="Times New Roman" w:hAnsi="Times New Roman" w:cs="Times New Roman"/>
          <w:b/>
          <w:bCs/>
        </w:rPr>
      </w:pPr>
      <w:r w:rsidRPr="004B5B1D">
        <w:rPr>
          <w:rFonts w:ascii="Times New Roman" w:eastAsia="Times New Roman" w:hAnsi="Times New Roman" w:cs="Times New Roman"/>
          <w:b/>
          <w:bCs/>
        </w:rPr>
        <w:t>PART III: ARGUMENT</w:t>
      </w:r>
    </w:p>
    <w:p w14:paraId="01C0018A" w14:textId="1818B62D" w:rsidR="00BA4C83" w:rsidRPr="004B5B1D" w:rsidRDefault="00AC4DEB" w:rsidP="00A6298C">
      <w:pPr>
        <w:spacing w:before="100" w:beforeAutospacing="1" w:after="100" w:afterAutospacing="1" w:line="480" w:lineRule="auto"/>
        <w:rPr>
          <w:rFonts w:ascii="Times New Roman" w:eastAsia="Times New Roman" w:hAnsi="Times New Roman" w:cs="Times New Roman"/>
          <w:b/>
          <w:bCs/>
        </w:rPr>
      </w:pPr>
      <w:r w:rsidRPr="004B5B1D">
        <w:rPr>
          <w:rFonts w:ascii="Times New Roman" w:eastAsia="Times New Roman" w:hAnsi="Times New Roman" w:cs="Times New Roman"/>
          <w:b/>
          <w:bCs/>
        </w:rPr>
        <w:t xml:space="preserve">STANDARD OF REVIEW </w:t>
      </w:r>
    </w:p>
    <w:p w14:paraId="295C0BE4" w14:textId="5F0B4772" w:rsidR="00144FF1" w:rsidRPr="004B5B1D" w:rsidRDefault="00E3642C"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t xml:space="preserve">The </w:t>
      </w:r>
      <w:r w:rsidR="008B199B" w:rsidRPr="004B5B1D">
        <w:rPr>
          <w:rFonts w:ascii="Times New Roman" w:hAnsi="Times New Roman" w:cs="Times New Roman"/>
        </w:rPr>
        <w:t xml:space="preserve">Supreme Court of Canada in </w:t>
      </w:r>
      <w:r w:rsidR="00730A74" w:rsidRPr="004B5B1D">
        <w:rPr>
          <w:rFonts w:ascii="Times New Roman" w:hAnsi="Times New Roman" w:cs="Times New Roman"/>
          <w:i/>
          <w:iCs/>
        </w:rPr>
        <w:t xml:space="preserve">Vavilov </w:t>
      </w:r>
      <w:r w:rsidR="00730A74" w:rsidRPr="004B5B1D">
        <w:rPr>
          <w:rFonts w:ascii="Times New Roman" w:hAnsi="Times New Roman" w:cs="Times New Roman"/>
        </w:rPr>
        <w:t xml:space="preserve">establishes </w:t>
      </w:r>
      <w:r w:rsidR="00AF2DFC" w:rsidRPr="004B5B1D">
        <w:rPr>
          <w:rFonts w:ascii="Times New Roman" w:hAnsi="Times New Roman" w:cs="Times New Roman"/>
        </w:rPr>
        <w:t>that “[w]here a court reviews the merits of an administrative decision…the starting point for the analysis is a presumption that the legislature intended the standard of review to be reasonableness”.</w:t>
      </w:r>
      <w:r w:rsidR="009F6026" w:rsidRPr="004B5B1D">
        <w:rPr>
          <w:rStyle w:val="FootnoteReference"/>
          <w:rFonts w:ascii="Times New Roman" w:hAnsi="Times New Roman" w:cs="Times New Roman"/>
          <w:i/>
          <w:iCs/>
        </w:rPr>
        <w:footnoteReference w:id="8"/>
      </w:r>
    </w:p>
    <w:p w14:paraId="56EB2D30" w14:textId="19384140" w:rsidR="002A32B0" w:rsidRPr="004B5B1D" w:rsidRDefault="00AF2DFC"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i/>
          <w:iCs/>
        </w:rPr>
        <w:t>Vavilov</w:t>
      </w:r>
      <w:r w:rsidR="00EF4967" w:rsidRPr="004B5B1D">
        <w:rPr>
          <w:rFonts w:ascii="Times New Roman" w:hAnsi="Times New Roman" w:cs="Times New Roman"/>
          <w:i/>
          <w:iCs/>
        </w:rPr>
        <w:t xml:space="preserve"> </w:t>
      </w:r>
      <w:r w:rsidR="00716E51" w:rsidRPr="004B5B1D">
        <w:rPr>
          <w:rFonts w:ascii="Times New Roman" w:hAnsi="Times New Roman" w:cs="Times New Roman"/>
        </w:rPr>
        <w:t>establishes the requirements for a reasonable decision. The Supreme Court of Canada found that</w:t>
      </w:r>
      <w:r w:rsidR="00662489" w:rsidRPr="004B5B1D">
        <w:rPr>
          <w:rFonts w:ascii="Times New Roman" w:hAnsi="Times New Roman" w:cs="Times New Roman"/>
          <w:i/>
          <w:iCs/>
        </w:rPr>
        <w:t xml:space="preserve"> </w:t>
      </w:r>
      <w:r w:rsidR="00662489" w:rsidRPr="004B5B1D">
        <w:rPr>
          <w:rFonts w:ascii="Times New Roman" w:hAnsi="Times New Roman" w:cs="Times New Roman"/>
        </w:rPr>
        <w:t>“</w:t>
      </w:r>
      <w:r w:rsidR="004814BA" w:rsidRPr="004B5B1D">
        <w:rPr>
          <w:rFonts w:ascii="Times New Roman" w:hAnsi="Times New Roman" w:cs="Times New Roman"/>
        </w:rPr>
        <w:t>the burden is on the party challenging the decision to show that it is unreasonable”.</w:t>
      </w:r>
      <w:r w:rsidR="009F6026" w:rsidRPr="004B5B1D">
        <w:rPr>
          <w:rStyle w:val="FootnoteReference"/>
          <w:rFonts w:ascii="Times New Roman" w:hAnsi="Times New Roman" w:cs="Times New Roman"/>
        </w:rPr>
        <w:footnoteReference w:id="9"/>
      </w:r>
      <w:r w:rsidR="004814BA" w:rsidRPr="004B5B1D">
        <w:rPr>
          <w:rFonts w:ascii="Times New Roman" w:hAnsi="Times New Roman" w:cs="Times New Roman"/>
        </w:rPr>
        <w:t xml:space="preserve"> </w:t>
      </w:r>
      <w:r w:rsidR="00BE1284" w:rsidRPr="004B5B1D">
        <w:rPr>
          <w:rFonts w:ascii="Times New Roman" w:hAnsi="Times New Roman" w:cs="Times New Roman"/>
        </w:rPr>
        <w:t>There are two types of issues that may show a decision is unreasonable. The first are decisions that fail to be internally coherent or are logically flawed.</w:t>
      </w:r>
      <w:r w:rsidR="00BE1284" w:rsidRPr="004B5B1D">
        <w:rPr>
          <w:rStyle w:val="FootnoteReference"/>
          <w:rFonts w:ascii="Times New Roman" w:hAnsi="Times New Roman" w:cs="Times New Roman"/>
        </w:rPr>
        <w:footnoteReference w:id="10"/>
      </w:r>
      <w:r w:rsidR="00BE1284" w:rsidRPr="004B5B1D">
        <w:rPr>
          <w:rFonts w:ascii="Times New Roman" w:hAnsi="Times New Roman" w:cs="Times New Roman"/>
        </w:rPr>
        <w:t xml:space="preserve"> The second type of decisions are those that are untenable in light of the relevant factual and legal constraints.</w:t>
      </w:r>
      <w:r w:rsidR="00BE1284" w:rsidRPr="004B5B1D">
        <w:rPr>
          <w:rStyle w:val="FootnoteReference"/>
          <w:rFonts w:ascii="Times New Roman" w:hAnsi="Times New Roman" w:cs="Times New Roman"/>
        </w:rPr>
        <w:footnoteReference w:id="11"/>
      </w:r>
      <w:r w:rsidR="00BE1284" w:rsidRPr="004B5B1D">
        <w:rPr>
          <w:rFonts w:ascii="Times New Roman" w:hAnsi="Times New Roman" w:cs="Times New Roman"/>
        </w:rPr>
        <w:t xml:space="preserve"> </w:t>
      </w:r>
      <w:r w:rsidR="004814BA" w:rsidRPr="004B5B1D">
        <w:rPr>
          <w:rFonts w:ascii="Times New Roman" w:hAnsi="Times New Roman" w:cs="Times New Roman"/>
        </w:rPr>
        <w:t>Further, any shortcomings or flaws must be ones which are “sufficiently central or significant to render the decision unreasonable”.</w:t>
      </w:r>
      <w:r w:rsidR="000F711D" w:rsidRPr="004B5B1D">
        <w:rPr>
          <w:rStyle w:val="FootnoteReference"/>
          <w:rFonts w:ascii="Times New Roman" w:hAnsi="Times New Roman" w:cs="Times New Roman"/>
        </w:rPr>
        <w:footnoteReference w:id="12"/>
      </w:r>
      <w:r w:rsidR="004814BA" w:rsidRPr="004B5B1D">
        <w:rPr>
          <w:rFonts w:ascii="Times New Roman" w:hAnsi="Times New Roman" w:cs="Times New Roman"/>
        </w:rPr>
        <w:t xml:space="preserve"> </w:t>
      </w:r>
      <w:r w:rsidR="00D2452D" w:rsidRPr="004B5B1D">
        <w:rPr>
          <w:rFonts w:ascii="Times New Roman" w:hAnsi="Times New Roman" w:cs="Times New Roman"/>
        </w:rPr>
        <w:t>The role of the reviewing court then, is to examine the RPD decision for the existence of a requisite degree of “justification, intelligibility and transparency” and “[a]</w:t>
      </w:r>
      <w:proofErr w:type="spellStart"/>
      <w:r w:rsidR="00D2452D" w:rsidRPr="004B5B1D">
        <w:rPr>
          <w:rFonts w:ascii="Times New Roman" w:hAnsi="Times New Roman" w:cs="Times New Roman"/>
        </w:rPr>
        <w:t>ny</w:t>
      </w:r>
      <w:proofErr w:type="spellEnd"/>
      <w:r w:rsidR="00D2452D" w:rsidRPr="004B5B1D">
        <w:rPr>
          <w:rFonts w:ascii="Times New Roman" w:hAnsi="Times New Roman" w:cs="Times New Roman"/>
        </w:rPr>
        <w:t xml:space="preserve"> </w:t>
      </w:r>
      <w:r w:rsidR="00D2452D" w:rsidRPr="004B5B1D">
        <w:rPr>
          <w:rFonts w:ascii="Times New Roman" w:hAnsi="Times New Roman" w:cs="Times New Roman"/>
        </w:rPr>
        <w:lastRenderedPageBreak/>
        <w:t>alleged flaws or shortcomings must be more than merely superficial or peripheral to the merits of the decision”.</w:t>
      </w:r>
      <w:r w:rsidR="00D2452D" w:rsidRPr="004B5B1D">
        <w:rPr>
          <w:rStyle w:val="FootnoteReference"/>
          <w:rFonts w:ascii="Times New Roman" w:hAnsi="Times New Roman" w:cs="Times New Roman"/>
        </w:rPr>
        <w:footnoteReference w:id="13"/>
      </w:r>
    </w:p>
    <w:p w14:paraId="586B5A31" w14:textId="04CBA78F" w:rsidR="00D928D0" w:rsidRPr="004B5B1D" w:rsidRDefault="00CA0DAE" w:rsidP="00D928D0">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 xml:space="preserve">The Federal Court </w:t>
      </w:r>
      <w:r w:rsidR="00BA529D" w:rsidRPr="004B5B1D">
        <w:rPr>
          <w:rFonts w:ascii="Times New Roman" w:hAnsi="Times New Roman" w:cs="Times New Roman"/>
        </w:rPr>
        <w:t xml:space="preserve">in the present case </w:t>
      </w:r>
      <w:r w:rsidRPr="004B5B1D">
        <w:rPr>
          <w:rFonts w:ascii="Times New Roman" w:hAnsi="Times New Roman" w:cs="Times New Roman"/>
        </w:rPr>
        <w:t xml:space="preserve">correctly found that the standard of review is reasonableness. </w:t>
      </w:r>
      <w:r w:rsidR="0085608E" w:rsidRPr="004B5B1D">
        <w:rPr>
          <w:rFonts w:ascii="Times New Roman" w:hAnsi="Times New Roman" w:cs="Times New Roman"/>
        </w:rPr>
        <w:t>This standard applies to the RPD’s contemplation and interpretation of evidence, credibility determinations, and chain of analysis.</w:t>
      </w:r>
      <w:r w:rsidR="00C94EFB" w:rsidRPr="004B5B1D">
        <w:rPr>
          <w:rFonts w:ascii="Times New Roman" w:hAnsi="Times New Roman" w:cs="Times New Roman"/>
        </w:rPr>
        <w:t xml:space="preserve"> </w:t>
      </w:r>
      <w:r w:rsidR="006736D2" w:rsidRPr="004B5B1D">
        <w:rPr>
          <w:rFonts w:ascii="Times New Roman" w:hAnsi="Times New Roman" w:cs="Times New Roman"/>
        </w:rPr>
        <w:t>However, the Federal Court also found that the issue of fairness “looms large in the analysis”.</w:t>
      </w:r>
      <w:r w:rsidR="006F0745" w:rsidRPr="004B5B1D">
        <w:rPr>
          <w:rStyle w:val="FootnoteReference"/>
          <w:rFonts w:ascii="Times New Roman" w:hAnsi="Times New Roman" w:cs="Times New Roman"/>
        </w:rPr>
        <w:footnoteReference w:id="14"/>
      </w:r>
      <w:r w:rsidR="000561C5" w:rsidRPr="004B5B1D">
        <w:rPr>
          <w:rFonts w:ascii="Times New Roman" w:hAnsi="Times New Roman" w:cs="Times New Roman"/>
        </w:rPr>
        <w:t xml:space="preserve"> </w:t>
      </w:r>
      <w:r w:rsidR="002A32B0" w:rsidRPr="004B5B1D">
        <w:rPr>
          <w:rFonts w:ascii="Times New Roman" w:hAnsi="Times New Roman" w:cs="Times New Roman"/>
        </w:rPr>
        <w:t xml:space="preserve"> </w:t>
      </w:r>
    </w:p>
    <w:p w14:paraId="6256F895" w14:textId="77777777" w:rsidR="002A32B0" w:rsidRPr="004B5B1D" w:rsidRDefault="002A32B0" w:rsidP="00251A57">
      <w:pPr>
        <w:spacing w:before="100" w:beforeAutospacing="1" w:after="100" w:afterAutospacing="1" w:line="480" w:lineRule="auto"/>
        <w:jc w:val="both"/>
        <w:rPr>
          <w:rFonts w:ascii="Times New Roman" w:hAnsi="Times New Roman" w:cs="Times New Roman"/>
          <w:b/>
          <w:bCs/>
        </w:rPr>
      </w:pPr>
      <w:r w:rsidRPr="004B5B1D">
        <w:rPr>
          <w:rFonts w:ascii="Times New Roman" w:hAnsi="Times New Roman" w:cs="Times New Roman"/>
          <w:b/>
          <w:bCs/>
        </w:rPr>
        <w:t xml:space="preserve">1) The RPD cannot admit Unsolicited Information, including affidavit evidence, filed by the agent of persecution. </w:t>
      </w:r>
    </w:p>
    <w:p w14:paraId="7855328E" w14:textId="0F8003D6" w:rsidR="002A32B0" w:rsidRPr="004B5B1D" w:rsidRDefault="002A32B0" w:rsidP="00251A57">
      <w:pPr>
        <w:pStyle w:val="ListParagraph"/>
        <w:spacing w:before="100" w:beforeAutospacing="1" w:after="100" w:afterAutospacing="1" w:line="480" w:lineRule="auto"/>
        <w:ind w:left="360"/>
        <w:jc w:val="both"/>
        <w:rPr>
          <w:rFonts w:ascii="Times New Roman" w:hAnsi="Times New Roman" w:cs="Times New Roman"/>
          <w:b/>
          <w:bCs/>
        </w:rPr>
      </w:pPr>
      <w:r w:rsidRPr="004B5B1D">
        <w:rPr>
          <w:rFonts w:ascii="Times New Roman" w:hAnsi="Times New Roman" w:cs="Times New Roman"/>
          <w:b/>
          <w:bCs/>
        </w:rPr>
        <w:t xml:space="preserve">A)  The Unsolicited Information and Transcript Evidence could not be adequately tested. </w:t>
      </w:r>
    </w:p>
    <w:p w14:paraId="3CDA397D" w14:textId="32581682" w:rsidR="00775E5E" w:rsidRPr="004B5B1D" w:rsidRDefault="002A32B0" w:rsidP="00775E5E">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The RPD has broad discretion to prefer certain evidence over other evidence. Subsection 170(g) of</w:t>
      </w:r>
      <w:r w:rsidR="00B4577D">
        <w:rPr>
          <w:rFonts w:ascii="Times New Roman" w:hAnsi="Times New Roman" w:cs="Times New Roman"/>
        </w:rPr>
        <w:t xml:space="preserve"> the</w:t>
      </w:r>
      <w:r w:rsidRPr="004B5B1D">
        <w:rPr>
          <w:rFonts w:ascii="Times New Roman" w:hAnsi="Times New Roman" w:cs="Times New Roman"/>
        </w:rPr>
        <w:t xml:space="preserve"> </w:t>
      </w:r>
      <w:r w:rsidR="007E0ACC" w:rsidRPr="004B5B1D">
        <w:rPr>
          <w:rFonts w:ascii="Times New Roman" w:hAnsi="Times New Roman" w:cs="Times New Roman"/>
          <w:i/>
          <w:iCs/>
        </w:rPr>
        <w:t>IRPA</w:t>
      </w:r>
      <w:r w:rsidRPr="004B5B1D">
        <w:rPr>
          <w:rFonts w:ascii="Times New Roman" w:hAnsi="Times New Roman" w:cs="Times New Roman"/>
        </w:rPr>
        <w:t xml:space="preserve"> establishes that the RPD is not bound by any legal or technical rules of evidence</w:t>
      </w:r>
      <w:r w:rsidR="009F6026" w:rsidRPr="004B5B1D">
        <w:rPr>
          <w:rFonts w:ascii="Times New Roman" w:hAnsi="Times New Roman" w:cs="Times New Roman"/>
        </w:rPr>
        <w:t>.</w:t>
      </w:r>
      <w:r w:rsidRPr="004B5B1D">
        <w:rPr>
          <w:rStyle w:val="FootnoteReference"/>
          <w:rFonts w:ascii="Times New Roman" w:hAnsi="Times New Roman" w:cs="Times New Roman"/>
        </w:rPr>
        <w:footnoteReference w:id="15"/>
      </w:r>
      <w:r w:rsidRPr="004B5B1D">
        <w:rPr>
          <w:rFonts w:ascii="Times New Roman" w:hAnsi="Times New Roman" w:cs="Times New Roman"/>
        </w:rPr>
        <w:t xml:space="preserve"> Subsection 170(h) of </w:t>
      </w:r>
      <w:r w:rsidR="007E0ACC" w:rsidRPr="004B5B1D">
        <w:rPr>
          <w:rFonts w:ascii="Times New Roman" w:hAnsi="Times New Roman" w:cs="Times New Roman"/>
          <w:i/>
          <w:iCs/>
        </w:rPr>
        <w:t>IRPA</w:t>
      </w:r>
      <w:r w:rsidRPr="004B5B1D">
        <w:rPr>
          <w:rFonts w:ascii="Times New Roman" w:hAnsi="Times New Roman" w:cs="Times New Roman"/>
          <w:i/>
          <w:iCs/>
        </w:rPr>
        <w:t xml:space="preserve"> </w:t>
      </w:r>
      <w:r w:rsidRPr="004B5B1D">
        <w:rPr>
          <w:rFonts w:ascii="Times New Roman" w:hAnsi="Times New Roman" w:cs="Times New Roman"/>
        </w:rPr>
        <w:t xml:space="preserve">makes clear that the RPD may base a decision on evidence that is adduced in the proceedings. </w:t>
      </w:r>
      <w:r w:rsidR="00157A86">
        <w:rPr>
          <w:rFonts w:ascii="Times New Roman" w:hAnsi="Times New Roman" w:cs="Times New Roman"/>
        </w:rPr>
        <w:t>However, this</w:t>
      </w:r>
      <w:r w:rsidRPr="004B5B1D">
        <w:rPr>
          <w:rFonts w:ascii="Times New Roman" w:hAnsi="Times New Roman" w:cs="Times New Roman"/>
        </w:rPr>
        <w:t xml:space="preserve"> evidence must be considered credible or trustworthy in the circumstances. </w:t>
      </w:r>
    </w:p>
    <w:p w14:paraId="75239384" w14:textId="28C02415" w:rsidR="00775E5E" w:rsidRPr="004B5B1D" w:rsidRDefault="00775E5E" w:rsidP="00775E5E">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 xml:space="preserve">The </w:t>
      </w:r>
      <w:r w:rsidRPr="004B5B1D">
        <w:rPr>
          <w:rFonts w:ascii="Times New Roman" w:hAnsi="Times New Roman" w:cs="Times New Roman"/>
          <w:i/>
          <w:iCs/>
        </w:rPr>
        <w:t>Policy on the Treatment of Unsolicited Information in the Refugee Protection Division</w:t>
      </w:r>
      <w:r w:rsidRPr="004B5B1D">
        <w:rPr>
          <w:rFonts w:ascii="Times New Roman" w:hAnsi="Times New Roman" w:cs="Times New Roman"/>
        </w:rPr>
        <w:t xml:space="preserve"> </w:t>
      </w:r>
      <w:r w:rsidR="00CE6C5A" w:rsidRPr="004B5B1D">
        <w:rPr>
          <w:rFonts w:ascii="Times New Roman" w:hAnsi="Times New Roman" w:cs="Times New Roman"/>
        </w:rPr>
        <w:t>(the “</w:t>
      </w:r>
      <w:r w:rsidR="009F6026" w:rsidRPr="004B5B1D">
        <w:rPr>
          <w:rFonts w:ascii="Times New Roman" w:hAnsi="Times New Roman" w:cs="Times New Roman"/>
        </w:rPr>
        <w:t xml:space="preserve">Unsolicited Information </w:t>
      </w:r>
      <w:r w:rsidR="00CE6C5A" w:rsidRPr="004B5B1D">
        <w:rPr>
          <w:rFonts w:ascii="Times New Roman" w:hAnsi="Times New Roman" w:cs="Times New Roman"/>
        </w:rPr>
        <w:t xml:space="preserve">Policy”) </w:t>
      </w:r>
      <w:r w:rsidRPr="004B5B1D">
        <w:rPr>
          <w:rFonts w:ascii="Times New Roman" w:hAnsi="Times New Roman" w:cs="Times New Roman"/>
        </w:rPr>
        <w:t>governs the treatment and use of unsolicited information the IRB receives in respect of RPD proceedings.</w:t>
      </w:r>
      <w:r w:rsidR="009F6026" w:rsidRPr="004B5B1D">
        <w:rPr>
          <w:rStyle w:val="FootnoteReference"/>
          <w:rFonts w:ascii="Times New Roman" w:hAnsi="Times New Roman" w:cs="Times New Roman"/>
          <w:i/>
          <w:iCs/>
        </w:rPr>
        <w:footnoteReference w:id="16"/>
      </w:r>
      <w:r w:rsidR="009F6026" w:rsidRPr="004B5B1D">
        <w:rPr>
          <w:rFonts w:ascii="Times New Roman" w:hAnsi="Times New Roman" w:cs="Times New Roman"/>
        </w:rPr>
        <w:t xml:space="preserve"> </w:t>
      </w:r>
      <w:r w:rsidRPr="004B5B1D">
        <w:rPr>
          <w:rFonts w:ascii="Times New Roman" w:hAnsi="Times New Roman" w:cs="Times New Roman"/>
        </w:rPr>
        <w:t xml:space="preserve"> The</w:t>
      </w:r>
      <w:bookmarkStart w:id="0" w:name="_Hlk127464491"/>
      <w:r w:rsidR="00FE37BF" w:rsidRPr="004B5B1D">
        <w:rPr>
          <w:rFonts w:ascii="Times New Roman" w:hAnsi="Times New Roman" w:cs="Times New Roman"/>
        </w:rPr>
        <w:t xml:space="preserve"> </w:t>
      </w:r>
      <w:bookmarkStart w:id="1" w:name="_Hlk127469470"/>
      <w:r w:rsidR="009F6026" w:rsidRPr="004B5B1D">
        <w:rPr>
          <w:rFonts w:ascii="Times New Roman" w:hAnsi="Times New Roman" w:cs="Times New Roman"/>
          <w:i/>
          <w:iCs/>
        </w:rPr>
        <w:t xml:space="preserve">Unsolicited Information </w:t>
      </w:r>
      <w:r w:rsidRPr="004B5B1D">
        <w:rPr>
          <w:rFonts w:ascii="Times New Roman" w:hAnsi="Times New Roman" w:cs="Times New Roman"/>
          <w:i/>
          <w:iCs/>
        </w:rPr>
        <w:t>Policy</w:t>
      </w:r>
      <w:r w:rsidRPr="004B5B1D">
        <w:rPr>
          <w:rFonts w:ascii="Times New Roman" w:hAnsi="Times New Roman" w:cs="Times New Roman"/>
        </w:rPr>
        <w:t xml:space="preserve"> </w:t>
      </w:r>
      <w:bookmarkEnd w:id="0"/>
      <w:bookmarkEnd w:id="1"/>
      <w:r w:rsidRPr="004B5B1D">
        <w:rPr>
          <w:rFonts w:ascii="Times New Roman" w:hAnsi="Times New Roman" w:cs="Times New Roman"/>
        </w:rPr>
        <w:t xml:space="preserve">defines unsolicited information as information that is provided by persons not party to the RPD </w:t>
      </w:r>
      <w:r w:rsidRPr="004B5B1D">
        <w:rPr>
          <w:rFonts w:ascii="Times New Roman" w:hAnsi="Times New Roman" w:cs="Times New Roman"/>
        </w:rPr>
        <w:lastRenderedPageBreak/>
        <w:t>proceedings and was not requested by IRB officials, including representatives of the Minister, a claimant, or a claimant’s representative. Section 3 provides that the unsolicited information enters the decision-making process only if it can be adequately tested.</w:t>
      </w:r>
      <w:r w:rsidRPr="004B5B1D">
        <w:rPr>
          <w:rStyle w:val="FootnoteReference"/>
          <w:rFonts w:ascii="Times New Roman" w:hAnsi="Times New Roman" w:cs="Times New Roman"/>
        </w:rPr>
        <w:footnoteReference w:id="17"/>
      </w:r>
      <w:r w:rsidRPr="004B5B1D">
        <w:rPr>
          <w:rFonts w:ascii="Times New Roman" w:hAnsi="Times New Roman" w:cs="Times New Roman"/>
        </w:rPr>
        <w:t xml:space="preserve"> Th</w:t>
      </w:r>
      <w:r w:rsidR="002E0C29" w:rsidRPr="004B5B1D">
        <w:rPr>
          <w:rFonts w:ascii="Times New Roman" w:hAnsi="Times New Roman" w:cs="Times New Roman"/>
        </w:rPr>
        <w:t>e purpose of Section 3</w:t>
      </w:r>
      <w:r w:rsidRPr="004B5B1D">
        <w:rPr>
          <w:rFonts w:ascii="Times New Roman" w:hAnsi="Times New Roman" w:cs="Times New Roman"/>
        </w:rPr>
        <w:t xml:space="preserve"> is to ensure that the RPD’s use of the unsolicited information is in keeping with the refugee protection determination process, which is inquisitorial in nature. </w:t>
      </w:r>
    </w:p>
    <w:p w14:paraId="3370ED0B" w14:textId="699CA8E0" w:rsidR="00C61819" w:rsidRPr="004B5B1D" w:rsidRDefault="00C61819" w:rsidP="0053083E">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eastAsia="Times New Roman" w:hAnsi="Times New Roman" w:cs="Times New Roman"/>
        </w:rPr>
        <w:t>Section 166(c) of</w:t>
      </w:r>
      <w:r w:rsidR="001D2448">
        <w:rPr>
          <w:rFonts w:ascii="Times New Roman" w:eastAsia="Times New Roman" w:hAnsi="Times New Roman" w:cs="Times New Roman"/>
        </w:rPr>
        <w:t xml:space="preserve"> the</w:t>
      </w:r>
      <w:r w:rsidRPr="004B5B1D">
        <w:rPr>
          <w:rFonts w:ascii="Times New Roman" w:eastAsia="Times New Roman" w:hAnsi="Times New Roman" w:cs="Times New Roman"/>
        </w:rPr>
        <w:t xml:space="preserve"> </w:t>
      </w:r>
      <w:r w:rsidR="007E0ACC" w:rsidRPr="004B5B1D">
        <w:rPr>
          <w:rFonts w:ascii="Times New Roman" w:eastAsia="Times New Roman" w:hAnsi="Times New Roman" w:cs="Times New Roman"/>
          <w:i/>
          <w:iCs/>
        </w:rPr>
        <w:t>IRPA</w:t>
      </w:r>
      <w:r w:rsidRPr="004B5B1D">
        <w:rPr>
          <w:rFonts w:ascii="Times New Roman" w:eastAsia="Times New Roman" w:hAnsi="Times New Roman" w:cs="Times New Roman"/>
          <w:i/>
          <w:iCs/>
        </w:rPr>
        <w:t xml:space="preserve"> </w:t>
      </w:r>
      <w:r w:rsidRPr="004B5B1D">
        <w:rPr>
          <w:rFonts w:ascii="Times New Roman" w:eastAsia="Times New Roman" w:hAnsi="Times New Roman" w:cs="Times New Roman"/>
        </w:rPr>
        <w:t>provides that proceedings before the RPD must be held in the absence of the public.</w:t>
      </w:r>
      <w:r w:rsidR="00521807" w:rsidRPr="004B5B1D">
        <w:rPr>
          <w:rStyle w:val="FootnoteReference"/>
          <w:rFonts w:ascii="Times New Roman" w:eastAsia="Times New Roman" w:hAnsi="Times New Roman" w:cs="Times New Roman"/>
        </w:rPr>
        <w:footnoteReference w:id="18"/>
      </w:r>
      <w:r w:rsidR="00080380" w:rsidRPr="004B5B1D">
        <w:rPr>
          <w:rFonts w:ascii="Times New Roman" w:eastAsia="Times New Roman" w:hAnsi="Times New Roman" w:cs="Times New Roman"/>
        </w:rPr>
        <w:t xml:space="preserve"> </w:t>
      </w:r>
      <w:r w:rsidR="001B11C6" w:rsidRPr="004B5B1D">
        <w:rPr>
          <w:rFonts w:ascii="Times New Roman" w:eastAsia="Times New Roman" w:hAnsi="Times New Roman" w:cs="Times New Roman"/>
        </w:rPr>
        <w:t>As per this section, claimants in RPD hearings have an enhanced expectation of priva</w:t>
      </w:r>
      <w:r w:rsidR="00E72A17" w:rsidRPr="004B5B1D">
        <w:rPr>
          <w:rFonts w:ascii="Times New Roman" w:eastAsia="Times New Roman" w:hAnsi="Times New Roman" w:cs="Times New Roman"/>
        </w:rPr>
        <w:t xml:space="preserve">cy </w:t>
      </w:r>
      <w:r w:rsidR="00226C9E" w:rsidRPr="004B5B1D">
        <w:rPr>
          <w:rFonts w:ascii="Times New Roman" w:eastAsia="Times New Roman" w:hAnsi="Times New Roman" w:cs="Times New Roman"/>
        </w:rPr>
        <w:t>because the important interests and sensitive information in the proceedings deserve protection</w:t>
      </w:r>
      <w:r w:rsidR="001B11C6" w:rsidRPr="004B5B1D">
        <w:rPr>
          <w:rFonts w:ascii="Times New Roman" w:eastAsia="Times New Roman" w:hAnsi="Times New Roman" w:cs="Times New Roman"/>
        </w:rPr>
        <w:t>.</w:t>
      </w:r>
      <w:r w:rsidR="001B11C6" w:rsidRPr="004B5B1D">
        <w:rPr>
          <w:rStyle w:val="FootnoteReference"/>
          <w:rFonts w:ascii="Times New Roman" w:eastAsia="Times New Roman" w:hAnsi="Times New Roman" w:cs="Times New Roman"/>
        </w:rPr>
        <w:footnoteReference w:id="19"/>
      </w:r>
    </w:p>
    <w:p w14:paraId="2AA2BAE5" w14:textId="0FED0F60" w:rsidR="0053083E" w:rsidRPr="004B5B1D" w:rsidRDefault="00F226FB" w:rsidP="0053083E">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The Federal Court in </w:t>
      </w:r>
      <w:r w:rsidRPr="004B5B1D">
        <w:rPr>
          <w:rFonts w:ascii="Times New Roman" w:hAnsi="Times New Roman" w:cs="Times New Roman"/>
          <w:i/>
          <w:iCs/>
        </w:rPr>
        <w:t>Olah v Canada</w:t>
      </w:r>
      <w:r w:rsidRPr="004B5B1D">
        <w:rPr>
          <w:rFonts w:ascii="Times New Roman" w:hAnsi="Times New Roman" w:cs="Times New Roman"/>
        </w:rPr>
        <w:t xml:space="preserve"> acknowledged the inquisitorial role of the RPD. Here, the court affirms that as decision-makers “[p]residing over proceedings that are more inquisitorial than adversarial, RPD members have an important and difficult role to play. Determining whether a claim is well-founded or not often involves at least some degree of testing of the evidence”.</w:t>
      </w:r>
      <w:r w:rsidRPr="004B5B1D">
        <w:rPr>
          <w:rStyle w:val="FootnoteReference"/>
          <w:rFonts w:ascii="Times New Roman" w:hAnsi="Times New Roman" w:cs="Times New Roman"/>
        </w:rPr>
        <w:footnoteReference w:id="20"/>
      </w:r>
      <w:r w:rsidRPr="004B5B1D">
        <w:rPr>
          <w:rFonts w:ascii="Times New Roman" w:hAnsi="Times New Roman" w:cs="Times New Roman"/>
        </w:rPr>
        <w:t xml:space="preserve"> At the same time, the Federal Court in </w:t>
      </w:r>
      <w:r w:rsidRPr="004B5B1D">
        <w:rPr>
          <w:rFonts w:ascii="Times New Roman" w:hAnsi="Times New Roman" w:cs="Times New Roman"/>
          <w:i/>
          <w:iCs/>
        </w:rPr>
        <w:t xml:space="preserve">Olah </w:t>
      </w:r>
      <w:r w:rsidRPr="004B5B1D">
        <w:rPr>
          <w:rFonts w:ascii="Times New Roman" w:hAnsi="Times New Roman" w:cs="Times New Roman"/>
        </w:rPr>
        <w:t>emphasized that “...members must not test a claim in ways that reasonably suggest that they have prejudged a case, in ways that prevent claimants from giving as</w:t>
      </w:r>
      <w:r w:rsidR="00704B0F">
        <w:rPr>
          <w:rFonts w:ascii="Times New Roman" w:hAnsi="Times New Roman" w:cs="Times New Roman"/>
        </w:rPr>
        <w:t xml:space="preserve"> </w:t>
      </w:r>
      <w:r w:rsidRPr="004B5B1D">
        <w:rPr>
          <w:rFonts w:ascii="Times New Roman" w:hAnsi="Times New Roman" w:cs="Times New Roman"/>
        </w:rPr>
        <w:t>complete and accurate an account as they are able to provide, or in ways which themselves could (re)traumatize the claimant”</w:t>
      </w:r>
      <w:r w:rsidR="0093125B" w:rsidRPr="004B5B1D">
        <w:rPr>
          <w:rFonts w:ascii="Times New Roman" w:hAnsi="Times New Roman" w:cs="Times New Roman"/>
        </w:rPr>
        <w:t>.</w:t>
      </w:r>
      <w:r w:rsidRPr="004B5B1D">
        <w:rPr>
          <w:rStyle w:val="FootnoteReference"/>
          <w:rFonts w:ascii="Times New Roman" w:hAnsi="Times New Roman" w:cs="Times New Roman"/>
        </w:rPr>
        <w:footnoteReference w:id="21"/>
      </w:r>
    </w:p>
    <w:p w14:paraId="50547596" w14:textId="292CD12B" w:rsidR="00F65713" w:rsidRPr="00610768" w:rsidRDefault="0053083E" w:rsidP="00610768">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476C5">
        <w:rPr>
          <w:rFonts w:ascii="Times New Roman" w:hAnsi="Times New Roman" w:cs="Times New Roman"/>
        </w:rPr>
        <w:t xml:space="preserve">In accordance with the </w:t>
      </w:r>
      <w:r w:rsidR="00FE37BF" w:rsidRPr="004476C5">
        <w:rPr>
          <w:rFonts w:ascii="Times New Roman" w:hAnsi="Times New Roman" w:cs="Times New Roman"/>
          <w:i/>
          <w:iCs/>
        </w:rPr>
        <w:t>Unsolicited Information Policy</w:t>
      </w:r>
      <w:r w:rsidRPr="004476C5">
        <w:rPr>
          <w:rFonts w:ascii="Times New Roman" w:hAnsi="Times New Roman" w:cs="Times New Roman"/>
          <w:i/>
          <w:iCs/>
        </w:rPr>
        <w:t xml:space="preserve">, </w:t>
      </w:r>
      <w:r w:rsidRPr="004476C5">
        <w:rPr>
          <w:rFonts w:ascii="Times New Roman" w:hAnsi="Times New Roman" w:cs="Times New Roman"/>
        </w:rPr>
        <w:t>the evidence from the Respondent’s husband can be admitted provided it can be adequately tested.</w:t>
      </w:r>
      <w:r w:rsidR="00FE37BF" w:rsidRPr="004476C5">
        <w:rPr>
          <w:rStyle w:val="FootnoteReference"/>
          <w:rFonts w:ascii="Times New Roman" w:hAnsi="Times New Roman" w:cs="Times New Roman"/>
          <w:i/>
          <w:iCs/>
        </w:rPr>
        <w:t xml:space="preserve"> </w:t>
      </w:r>
      <w:r w:rsidR="00FE37BF" w:rsidRPr="004B5B1D">
        <w:rPr>
          <w:rStyle w:val="FootnoteReference"/>
          <w:rFonts w:ascii="Times New Roman" w:hAnsi="Times New Roman" w:cs="Times New Roman"/>
          <w:i/>
          <w:iCs/>
        </w:rPr>
        <w:footnoteReference w:id="22"/>
      </w:r>
      <w:r w:rsidRPr="004476C5">
        <w:rPr>
          <w:rFonts w:ascii="Times New Roman" w:hAnsi="Times New Roman" w:cs="Times New Roman"/>
        </w:rPr>
        <w:t xml:space="preserve"> </w:t>
      </w:r>
      <w:r w:rsidR="00E72A17" w:rsidRPr="004476C5">
        <w:rPr>
          <w:rFonts w:ascii="Times New Roman" w:hAnsi="Times New Roman" w:cs="Times New Roman"/>
        </w:rPr>
        <w:t xml:space="preserve">This is because the RPD does not </w:t>
      </w:r>
      <w:r w:rsidR="00E72A17" w:rsidRPr="004476C5">
        <w:rPr>
          <w:rFonts w:ascii="Times New Roman" w:hAnsi="Times New Roman" w:cs="Times New Roman"/>
        </w:rPr>
        <w:lastRenderedPageBreak/>
        <w:t xml:space="preserve">act as a referee in a competitive process between the parties, but rather serves as an examiner to ascertain the truth of a claim.  </w:t>
      </w:r>
      <w:r w:rsidR="00DF01F3" w:rsidRPr="004476C5">
        <w:rPr>
          <w:rFonts w:ascii="Times New Roman" w:hAnsi="Times New Roman" w:cs="Times New Roman"/>
        </w:rPr>
        <w:t xml:space="preserve">The RPD </w:t>
      </w:r>
      <w:r w:rsidR="0030368A" w:rsidRPr="004476C5">
        <w:rPr>
          <w:rFonts w:ascii="Times New Roman" w:hAnsi="Times New Roman" w:cs="Times New Roman"/>
        </w:rPr>
        <w:t xml:space="preserve">board member </w:t>
      </w:r>
      <w:r w:rsidR="0092625E">
        <w:rPr>
          <w:rFonts w:ascii="Times New Roman" w:hAnsi="Times New Roman" w:cs="Times New Roman"/>
        </w:rPr>
        <w:t>noted</w:t>
      </w:r>
      <w:r w:rsidR="00DF01F3" w:rsidRPr="004476C5">
        <w:rPr>
          <w:rFonts w:ascii="Times New Roman" w:hAnsi="Times New Roman" w:cs="Times New Roman"/>
        </w:rPr>
        <w:t xml:space="preserve"> that </w:t>
      </w:r>
      <w:r w:rsidR="00704B0F">
        <w:rPr>
          <w:rFonts w:ascii="Times New Roman" w:hAnsi="Times New Roman" w:cs="Times New Roman"/>
        </w:rPr>
        <w:t>the Respondents</w:t>
      </w:r>
      <w:r w:rsidR="00DF01F3" w:rsidRPr="004476C5">
        <w:rPr>
          <w:rFonts w:ascii="Times New Roman" w:hAnsi="Times New Roman" w:cs="Times New Roman"/>
        </w:rPr>
        <w:t xml:space="preserve"> w</w:t>
      </w:r>
      <w:r w:rsidR="00704B0F">
        <w:rPr>
          <w:rFonts w:ascii="Times New Roman" w:hAnsi="Times New Roman" w:cs="Times New Roman"/>
        </w:rPr>
        <w:t>ere</w:t>
      </w:r>
      <w:r w:rsidR="00DF01F3" w:rsidRPr="004476C5">
        <w:rPr>
          <w:rFonts w:ascii="Times New Roman" w:hAnsi="Times New Roman" w:cs="Times New Roman"/>
        </w:rPr>
        <w:t xml:space="preserve"> “entitled to make a formal request…to compel Mr. Alves Barbosa to appear as a witness”</w:t>
      </w:r>
      <w:r w:rsidR="009D240E" w:rsidRPr="009D240E">
        <w:rPr>
          <w:rStyle w:val="FootnoteReference"/>
          <w:rFonts w:ascii="Times New Roman" w:hAnsi="Times New Roman" w:cs="Times New Roman"/>
        </w:rPr>
        <w:t xml:space="preserve"> </w:t>
      </w:r>
      <w:r w:rsidR="009D240E">
        <w:rPr>
          <w:rStyle w:val="FootnoteReference"/>
          <w:rFonts w:ascii="Times New Roman" w:hAnsi="Times New Roman" w:cs="Times New Roman"/>
        </w:rPr>
        <w:footnoteReference w:id="23"/>
      </w:r>
      <w:r w:rsidR="00704B0F">
        <w:rPr>
          <w:rFonts w:ascii="Times New Roman" w:hAnsi="Times New Roman" w:cs="Times New Roman"/>
        </w:rPr>
        <w:t xml:space="preserve"> in order to test the evidence in question</w:t>
      </w:r>
      <w:r w:rsidR="00DF01F3" w:rsidRPr="004476C5">
        <w:rPr>
          <w:rFonts w:ascii="Times New Roman" w:hAnsi="Times New Roman" w:cs="Times New Roman"/>
        </w:rPr>
        <w:t xml:space="preserve">. </w:t>
      </w:r>
      <w:r w:rsidR="00610768">
        <w:rPr>
          <w:rFonts w:ascii="Times New Roman" w:eastAsia="Times New Roman" w:hAnsi="Times New Roman" w:cs="Times New Roman"/>
        </w:rPr>
        <w:t>Th</w:t>
      </w:r>
      <w:r w:rsidR="00AB2E93" w:rsidRPr="00610768">
        <w:rPr>
          <w:rFonts w:ascii="Times New Roman" w:hAnsi="Times New Roman" w:cs="Times New Roman"/>
        </w:rPr>
        <w:t>e</w:t>
      </w:r>
      <w:r w:rsidR="00610768">
        <w:rPr>
          <w:rFonts w:ascii="Times New Roman" w:hAnsi="Times New Roman" w:cs="Times New Roman"/>
        </w:rPr>
        <w:t xml:space="preserve"> RPD board member</w:t>
      </w:r>
      <w:r w:rsidR="00AB2E93" w:rsidRPr="00610768">
        <w:rPr>
          <w:rFonts w:ascii="Times New Roman" w:hAnsi="Times New Roman" w:cs="Times New Roman"/>
        </w:rPr>
        <w:t xml:space="preserve"> </w:t>
      </w:r>
      <w:r w:rsidR="00D42D21">
        <w:rPr>
          <w:rFonts w:ascii="Times New Roman" w:hAnsi="Times New Roman" w:cs="Times New Roman"/>
        </w:rPr>
        <w:t>noted</w:t>
      </w:r>
      <w:r w:rsidR="0030368A" w:rsidRPr="00610768">
        <w:rPr>
          <w:rFonts w:ascii="Times New Roman" w:hAnsi="Times New Roman" w:cs="Times New Roman"/>
        </w:rPr>
        <w:t xml:space="preserve"> that</w:t>
      </w:r>
      <w:r w:rsidR="0097587B" w:rsidRPr="00610768">
        <w:rPr>
          <w:rFonts w:ascii="Times New Roman" w:hAnsi="Times New Roman" w:cs="Times New Roman"/>
        </w:rPr>
        <w:t xml:space="preserve"> </w:t>
      </w:r>
      <w:r w:rsidR="002B7A7E" w:rsidRPr="00610768">
        <w:rPr>
          <w:rFonts w:ascii="Times New Roman" w:hAnsi="Times New Roman" w:cs="Times New Roman"/>
        </w:rPr>
        <w:t>“any potential concerns about juxtaposing the alleged perpetrator and the alleged victim as witness against each other in the same proceedings are outweighed by the high degree of relevance of information</w:t>
      </w:r>
      <w:r w:rsidR="00B07B13">
        <w:rPr>
          <w:rFonts w:ascii="Times New Roman" w:hAnsi="Times New Roman" w:cs="Times New Roman"/>
        </w:rPr>
        <w:t>”</w:t>
      </w:r>
      <w:r w:rsidR="002B7A7E" w:rsidRPr="00610768">
        <w:rPr>
          <w:rFonts w:ascii="Times New Roman" w:hAnsi="Times New Roman" w:cs="Times New Roman"/>
        </w:rPr>
        <w:t>.</w:t>
      </w:r>
      <w:r w:rsidR="0030368A">
        <w:rPr>
          <w:rStyle w:val="FootnoteReference"/>
          <w:rFonts w:ascii="Times New Roman" w:hAnsi="Times New Roman" w:cs="Times New Roman"/>
        </w:rPr>
        <w:footnoteReference w:id="24"/>
      </w:r>
      <w:r w:rsidR="0097587B" w:rsidRPr="00610768">
        <w:rPr>
          <w:rFonts w:ascii="Times New Roman" w:hAnsi="Times New Roman" w:cs="Times New Roman"/>
        </w:rPr>
        <w:t xml:space="preserve"> </w:t>
      </w:r>
      <w:r w:rsidR="009140E7" w:rsidRPr="00610768">
        <w:rPr>
          <w:rFonts w:ascii="Times New Roman" w:hAnsi="Times New Roman" w:cs="Times New Roman"/>
        </w:rPr>
        <w:t xml:space="preserve">While it is important to ensure that all relevant evidence is available to RPD decision-makers, the protection of vulnerable claimants in this case, </w:t>
      </w:r>
      <w:r w:rsidR="00E35059">
        <w:rPr>
          <w:rFonts w:ascii="Times New Roman" w:hAnsi="Times New Roman" w:cs="Times New Roman"/>
        </w:rPr>
        <w:t>should take</w:t>
      </w:r>
      <w:r w:rsidR="009140E7" w:rsidRPr="00610768">
        <w:rPr>
          <w:rFonts w:ascii="Times New Roman" w:hAnsi="Times New Roman" w:cs="Times New Roman"/>
        </w:rPr>
        <w:t xml:space="preserve"> precedence.  </w:t>
      </w:r>
      <w:r w:rsidR="008D273F" w:rsidRPr="00610768">
        <w:rPr>
          <w:rFonts w:ascii="Times New Roman" w:hAnsi="Times New Roman" w:cs="Times New Roman"/>
        </w:rPr>
        <w:t>The RPD board member</w:t>
      </w:r>
      <w:r w:rsidR="009140E7" w:rsidRPr="00610768">
        <w:rPr>
          <w:rFonts w:ascii="Times New Roman" w:hAnsi="Times New Roman" w:cs="Times New Roman"/>
        </w:rPr>
        <w:t xml:space="preserve"> assumes </w:t>
      </w:r>
      <w:r w:rsidR="00D26759" w:rsidRPr="00610768">
        <w:rPr>
          <w:rFonts w:ascii="Times New Roman" w:hAnsi="Times New Roman" w:cs="Times New Roman"/>
        </w:rPr>
        <w:t>that</w:t>
      </w:r>
      <w:r w:rsidR="00D554E1" w:rsidRPr="00610768">
        <w:rPr>
          <w:rFonts w:ascii="Times New Roman" w:hAnsi="Times New Roman" w:cs="Times New Roman"/>
        </w:rPr>
        <w:t xml:space="preserve"> Ms. Barbosa Reis would be able to face Mr. Alves Barbosa in the same proceedings as any refugee claimant</w:t>
      </w:r>
      <w:r w:rsidR="00A645B7" w:rsidRPr="00610768">
        <w:rPr>
          <w:rFonts w:ascii="Times New Roman" w:hAnsi="Times New Roman" w:cs="Times New Roman"/>
        </w:rPr>
        <w:t>. He</w:t>
      </w:r>
      <w:r w:rsidR="00D554E1" w:rsidRPr="00610768">
        <w:rPr>
          <w:rFonts w:ascii="Times New Roman" w:hAnsi="Times New Roman" w:cs="Times New Roman"/>
        </w:rPr>
        <w:t xml:space="preserve"> fails to appreciate the gravity of her situation</w:t>
      </w:r>
      <w:r w:rsidR="00123A3D" w:rsidRPr="00610768">
        <w:rPr>
          <w:rFonts w:ascii="Times New Roman" w:hAnsi="Times New Roman" w:cs="Times New Roman"/>
        </w:rPr>
        <w:t xml:space="preserve"> and the repercussions of </w:t>
      </w:r>
      <w:r w:rsidR="009B58ED" w:rsidRPr="00610768">
        <w:rPr>
          <w:rFonts w:ascii="Times New Roman" w:hAnsi="Times New Roman" w:cs="Times New Roman"/>
        </w:rPr>
        <w:t>a confrontation between Ms. Barbosa Reis and her husband</w:t>
      </w:r>
      <w:r w:rsidR="00282872">
        <w:rPr>
          <w:rFonts w:ascii="Times New Roman" w:hAnsi="Times New Roman" w:cs="Times New Roman"/>
        </w:rPr>
        <w:t xml:space="preserve"> if the</w:t>
      </w:r>
      <w:r w:rsidR="00192D15">
        <w:rPr>
          <w:rFonts w:ascii="Times New Roman" w:hAnsi="Times New Roman" w:cs="Times New Roman"/>
        </w:rPr>
        <w:t xml:space="preserve"> evidence</w:t>
      </w:r>
      <w:r w:rsidR="00282872">
        <w:rPr>
          <w:rFonts w:ascii="Times New Roman" w:hAnsi="Times New Roman" w:cs="Times New Roman"/>
        </w:rPr>
        <w:t xml:space="preserve"> were tested</w:t>
      </w:r>
      <w:r w:rsidR="00192D15">
        <w:rPr>
          <w:rFonts w:ascii="Times New Roman" w:hAnsi="Times New Roman" w:cs="Times New Roman"/>
        </w:rPr>
        <w:t xml:space="preserve"> </w:t>
      </w:r>
      <w:r w:rsidR="001B5233">
        <w:rPr>
          <w:rFonts w:ascii="Times New Roman" w:hAnsi="Times New Roman" w:cs="Times New Roman"/>
        </w:rPr>
        <w:t>in the way h</w:t>
      </w:r>
      <w:r w:rsidR="00192D15">
        <w:rPr>
          <w:rFonts w:ascii="Times New Roman" w:hAnsi="Times New Roman" w:cs="Times New Roman"/>
        </w:rPr>
        <w:t xml:space="preserve">e described. </w:t>
      </w:r>
    </w:p>
    <w:p w14:paraId="7C2D86AF" w14:textId="0FC6A0A5" w:rsidR="004476C5" w:rsidRPr="004476C5" w:rsidRDefault="00D554E1" w:rsidP="00B74F8F">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476C5">
        <w:rPr>
          <w:rFonts w:ascii="Times New Roman" w:hAnsi="Times New Roman" w:cs="Times New Roman"/>
        </w:rPr>
        <w:t>Ms. Barbosa Reis is no</w:t>
      </w:r>
      <w:r w:rsidR="00B857AD">
        <w:rPr>
          <w:rFonts w:ascii="Times New Roman" w:hAnsi="Times New Roman" w:cs="Times New Roman"/>
        </w:rPr>
        <w:t xml:space="preserve">t a typical </w:t>
      </w:r>
      <w:r w:rsidRPr="004476C5">
        <w:rPr>
          <w:rFonts w:ascii="Times New Roman" w:hAnsi="Times New Roman" w:cs="Times New Roman"/>
        </w:rPr>
        <w:t>claimant</w:t>
      </w:r>
      <w:r w:rsidR="00233F99">
        <w:rPr>
          <w:rFonts w:ascii="Times New Roman" w:hAnsi="Times New Roman" w:cs="Times New Roman"/>
        </w:rPr>
        <w:t xml:space="preserve">. She and her children are victims of ongoing domestic violence. </w:t>
      </w:r>
      <w:r w:rsidR="00661953">
        <w:rPr>
          <w:rFonts w:ascii="Times New Roman" w:hAnsi="Times New Roman" w:cs="Times New Roman"/>
        </w:rPr>
        <w:t xml:space="preserve">She </w:t>
      </w:r>
      <w:r w:rsidR="007C723B">
        <w:rPr>
          <w:rFonts w:ascii="Times New Roman" w:hAnsi="Times New Roman" w:cs="Times New Roman"/>
        </w:rPr>
        <w:t>provided ample evidence</w:t>
      </w:r>
      <w:r w:rsidR="00D802A5">
        <w:rPr>
          <w:rFonts w:ascii="Times New Roman" w:hAnsi="Times New Roman" w:cs="Times New Roman"/>
        </w:rPr>
        <w:t xml:space="preserve"> </w:t>
      </w:r>
      <w:r w:rsidR="007C723B">
        <w:rPr>
          <w:rFonts w:ascii="Times New Roman" w:hAnsi="Times New Roman" w:cs="Times New Roman"/>
        </w:rPr>
        <w:t xml:space="preserve">of severe domestic violence against her and her children and given that this is not a criminal proceeding, she is not </w:t>
      </w:r>
      <w:r w:rsidR="00703804">
        <w:rPr>
          <w:rFonts w:ascii="Times New Roman" w:hAnsi="Times New Roman" w:cs="Times New Roman"/>
        </w:rPr>
        <w:t>required</w:t>
      </w:r>
      <w:r w:rsidR="007C723B">
        <w:rPr>
          <w:rFonts w:ascii="Times New Roman" w:hAnsi="Times New Roman" w:cs="Times New Roman"/>
        </w:rPr>
        <w:t xml:space="preserve"> to prove her allegations beyond a reasonable doubt. On a balance of probabilities, Ms. Barbosa Reis has shown that she </w:t>
      </w:r>
      <w:r w:rsidR="004E20F9">
        <w:rPr>
          <w:rFonts w:ascii="Times New Roman" w:hAnsi="Times New Roman" w:cs="Times New Roman"/>
        </w:rPr>
        <w:t xml:space="preserve">and her children </w:t>
      </w:r>
      <w:r w:rsidRPr="004476C5">
        <w:rPr>
          <w:rFonts w:ascii="Times New Roman" w:hAnsi="Times New Roman" w:cs="Times New Roman"/>
        </w:rPr>
        <w:t>endured many years of physical and psychological abuse</w:t>
      </w:r>
      <w:r w:rsidR="006112BA">
        <w:rPr>
          <w:rFonts w:ascii="Times New Roman" w:hAnsi="Times New Roman" w:cs="Times New Roman"/>
        </w:rPr>
        <w:t xml:space="preserve"> in Brazil and in Canada. </w:t>
      </w:r>
      <w:r w:rsidR="00CC7053">
        <w:rPr>
          <w:rFonts w:ascii="Times New Roman" w:hAnsi="Times New Roman" w:cs="Times New Roman"/>
        </w:rPr>
        <w:t xml:space="preserve">Ms. Barbosa Reis </w:t>
      </w:r>
      <w:r w:rsidRPr="004476C5">
        <w:rPr>
          <w:rFonts w:ascii="Times New Roman" w:hAnsi="Times New Roman" w:cs="Times New Roman"/>
        </w:rPr>
        <w:t>live</w:t>
      </w:r>
      <w:r w:rsidR="00CC7053">
        <w:rPr>
          <w:rFonts w:ascii="Times New Roman" w:hAnsi="Times New Roman" w:cs="Times New Roman"/>
        </w:rPr>
        <w:t>s</w:t>
      </w:r>
      <w:r w:rsidRPr="004476C5">
        <w:rPr>
          <w:rFonts w:ascii="Times New Roman" w:hAnsi="Times New Roman" w:cs="Times New Roman"/>
        </w:rPr>
        <w:t xml:space="preserve"> with the imprints of trauma inflicted by her husband</w:t>
      </w:r>
      <w:r w:rsidR="00CC7053">
        <w:rPr>
          <w:rFonts w:ascii="Times New Roman" w:hAnsi="Times New Roman" w:cs="Times New Roman"/>
        </w:rPr>
        <w:t>, as indicated by the medical documentation she provided</w:t>
      </w:r>
      <w:r w:rsidRPr="004476C5">
        <w:rPr>
          <w:rFonts w:ascii="Times New Roman" w:hAnsi="Times New Roman" w:cs="Times New Roman"/>
        </w:rPr>
        <w:t xml:space="preserve">. </w:t>
      </w:r>
      <w:r w:rsidR="004476C5" w:rsidRPr="004476C5">
        <w:rPr>
          <w:rFonts w:ascii="Times New Roman" w:hAnsi="Times New Roman" w:cs="Times New Roman"/>
        </w:rPr>
        <w:t xml:space="preserve">By </w:t>
      </w:r>
      <w:r w:rsidR="009B70AF">
        <w:rPr>
          <w:rFonts w:ascii="Times New Roman" w:hAnsi="Times New Roman" w:cs="Times New Roman"/>
        </w:rPr>
        <w:t>taking issue</w:t>
      </w:r>
      <w:r w:rsidR="004476C5" w:rsidRPr="004476C5">
        <w:rPr>
          <w:rFonts w:ascii="Times New Roman" w:hAnsi="Times New Roman" w:cs="Times New Roman"/>
        </w:rPr>
        <w:t xml:space="preserve"> with Ms. Barbosa Reis</w:t>
      </w:r>
      <w:r w:rsidR="009B70AF">
        <w:rPr>
          <w:rFonts w:ascii="Times New Roman" w:hAnsi="Times New Roman" w:cs="Times New Roman"/>
        </w:rPr>
        <w:t>’s failure t</w:t>
      </w:r>
      <w:r w:rsidR="004476C5" w:rsidRPr="004476C5">
        <w:rPr>
          <w:rFonts w:ascii="Times New Roman" w:hAnsi="Times New Roman" w:cs="Times New Roman"/>
        </w:rPr>
        <w:t xml:space="preserve">o compel the agent of persecution as a witness, the RPD </w:t>
      </w:r>
      <w:r w:rsidR="00D45377">
        <w:rPr>
          <w:rFonts w:ascii="Times New Roman" w:hAnsi="Times New Roman" w:cs="Times New Roman"/>
        </w:rPr>
        <w:t xml:space="preserve">board member </w:t>
      </w:r>
      <w:r w:rsidR="00123CA3">
        <w:rPr>
          <w:rFonts w:ascii="Times New Roman" w:hAnsi="Times New Roman" w:cs="Times New Roman"/>
        </w:rPr>
        <w:t>appears to expect a</w:t>
      </w:r>
      <w:r w:rsidR="004476C5" w:rsidRPr="004476C5">
        <w:rPr>
          <w:rFonts w:ascii="Times New Roman" w:hAnsi="Times New Roman" w:cs="Times New Roman"/>
        </w:rPr>
        <w:t xml:space="preserve"> </w:t>
      </w:r>
      <w:r w:rsidR="004476C5">
        <w:rPr>
          <w:rFonts w:ascii="Times New Roman" w:hAnsi="Times New Roman" w:cs="Times New Roman"/>
        </w:rPr>
        <w:t xml:space="preserve">victim of domestic abuse to </w:t>
      </w:r>
      <w:r w:rsidR="00CD009C">
        <w:rPr>
          <w:rFonts w:ascii="Times New Roman" w:hAnsi="Times New Roman" w:cs="Times New Roman"/>
        </w:rPr>
        <w:t>face h</w:t>
      </w:r>
      <w:r w:rsidR="00FB7426">
        <w:rPr>
          <w:rFonts w:ascii="Times New Roman" w:hAnsi="Times New Roman" w:cs="Times New Roman"/>
        </w:rPr>
        <w:t>er abuser</w:t>
      </w:r>
      <w:r w:rsidR="00CD009C">
        <w:rPr>
          <w:rFonts w:ascii="Times New Roman" w:hAnsi="Times New Roman" w:cs="Times New Roman"/>
        </w:rPr>
        <w:t xml:space="preserve"> </w:t>
      </w:r>
      <w:r w:rsidR="009B70AF">
        <w:rPr>
          <w:rFonts w:ascii="Times New Roman" w:hAnsi="Times New Roman" w:cs="Times New Roman"/>
        </w:rPr>
        <w:t>as if he were a regular witness.</w:t>
      </w:r>
      <w:r w:rsidR="00693843">
        <w:rPr>
          <w:rFonts w:ascii="Times New Roman" w:hAnsi="Times New Roman" w:cs="Times New Roman"/>
        </w:rPr>
        <w:t xml:space="preserve"> This is unreasonable and contrary </w:t>
      </w:r>
      <w:r w:rsidR="00693843">
        <w:rPr>
          <w:rFonts w:ascii="Times New Roman" w:hAnsi="Times New Roman" w:cs="Times New Roman"/>
        </w:rPr>
        <w:lastRenderedPageBreak/>
        <w:t xml:space="preserve">to the intention of section </w:t>
      </w:r>
      <w:r w:rsidR="00693843" w:rsidRPr="00D30C79">
        <w:rPr>
          <w:rFonts w:ascii="Times New Roman" w:hAnsi="Times New Roman" w:cs="Times New Roman"/>
        </w:rPr>
        <w:t>166(c) of</w:t>
      </w:r>
      <w:r w:rsidR="00693843">
        <w:rPr>
          <w:rFonts w:ascii="Times New Roman" w:hAnsi="Times New Roman" w:cs="Times New Roman"/>
        </w:rPr>
        <w:t xml:space="preserve"> the</w:t>
      </w:r>
      <w:r w:rsidR="00693843" w:rsidRPr="00D30C79">
        <w:rPr>
          <w:rFonts w:ascii="Times New Roman" w:hAnsi="Times New Roman" w:cs="Times New Roman"/>
        </w:rPr>
        <w:t xml:space="preserve"> </w:t>
      </w:r>
      <w:r w:rsidR="00693843" w:rsidRPr="00D30C79">
        <w:rPr>
          <w:rFonts w:ascii="Times New Roman" w:hAnsi="Times New Roman" w:cs="Times New Roman"/>
          <w:i/>
          <w:iCs/>
        </w:rPr>
        <w:t>IRPA</w:t>
      </w:r>
      <w:r w:rsidR="00693843">
        <w:rPr>
          <w:rFonts w:ascii="Times New Roman" w:hAnsi="Times New Roman" w:cs="Times New Roman"/>
        </w:rPr>
        <w:t xml:space="preserve">, which </w:t>
      </w:r>
      <w:r w:rsidR="004E20F9">
        <w:rPr>
          <w:rFonts w:ascii="Times New Roman" w:hAnsi="Times New Roman" w:cs="Times New Roman"/>
        </w:rPr>
        <w:t xml:space="preserve">indicates </w:t>
      </w:r>
      <w:r w:rsidR="00AA5F8F">
        <w:rPr>
          <w:rFonts w:ascii="Times New Roman" w:hAnsi="Times New Roman" w:cs="Times New Roman"/>
        </w:rPr>
        <w:t xml:space="preserve">that </w:t>
      </w:r>
      <w:r w:rsidR="004E20F9">
        <w:rPr>
          <w:rFonts w:ascii="Times New Roman" w:hAnsi="Times New Roman" w:cs="Times New Roman"/>
        </w:rPr>
        <w:t>the</w:t>
      </w:r>
      <w:r w:rsidR="00545C23">
        <w:rPr>
          <w:rFonts w:ascii="Times New Roman" w:hAnsi="Times New Roman" w:cs="Times New Roman"/>
        </w:rPr>
        <w:t xml:space="preserve"> RPD values and takes seriously </w:t>
      </w:r>
      <w:r w:rsidR="0060234C">
        <w:rPr>
          <w:rFonts w:ascii="Times New Roman" w:hAnsi="Times New Roman" w:cs="Times New Roman"/>
        </w:rPr>
        <w:t>its role in protecting vulnerable refugee claimants</w:t>
      </w:r>
      <w:r w:rsidR="00C84608">
        <w:rPr>
          <w:rFonts w:ascii="Times New Roman" w:hAnsi="Times New Roman" w:cs="Times New Roman"/>
        </w:rPr>
        <w:t xml:space="preserve"> and conducting respectful, trauma-informed hearings. </w:t>
      </w:r>
    </w:p>
    <w:p w14:paraId="7FD2BDA4" w14:textId="0952058C" w:rsidR="001D2F86" w:rsidRPr="003C580F" w:rsidRDefault="00F64385" w:rsidP="00F03C80">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B95086">
        <w:rPr>
          <w:rFonts w:ascii="Times New Roman" w:hAnsi="Times New Roman" w:cs="Times New Roman"/>
        </w:rPr>
        <w:t xml:space="preserve">Expecting </w:t>
      </w:r>
      <w:r w:rsidR="00836848">
        <w:rPr>
          <w:rFonts w:ascii="Times New Roman" w:hAnsi="Times New Roman" w:cs="Times New Roman"/>
        </w:rPr>
        <w:t>Ms. Barbosa Reis to confront</w:t>
      </w:r>
      <w:r w:rsidRPr="00B95086">
        <w:rPr>
          <w:rFonts w:ascii="Times New Roman" w:hAnsi="Times New Roman" w:cs="Times New Roman"/>
        </w:rPr>
        <w:t xml:space="preserve"> her abuser in cross-examination not only </w:t>
      </w:r>
      <w:r w:rsidR="00AD4591">
        <w:rPr>
          <w:rFonts w:ascii="Times New Roman" w:hAnsi="Times New Roman" w:cs="Times New Roman"/>
        </w:rPr>
        <w:t xml:space="preserve">suggests </w:t>
      </w:r>
      <w:r w:rsidR="00836848">
        <w:rPr>
          <w:rFonts w:ascii="Times New Roman" w:hAnsi="Times New Roman" w:cs="Times New Roman"/>
        </w:rPr>
        <w:t xml:space="preserve">that </w:t>
      </w:r>
      <w:r w:rsidR="00AD4591">
        <w:rPr>
          <w:rFonts w:ascii="Times New Roman" w:hAnsi="Times New Roman" w:cs="Times New Roman"/>
        </w:rPr>
        <w:t xml:space="preserve">the RPD is agreeable to </w:t>
      </w:r>
      <w:r w:rsidR="006139BF">
        <w:rPr>
          <w:rFonts w:ascii="Times New Roman" w:hAnsi="Times New Roman" w:cs="Times New Roman"/>
        </w:rPr>
        <w:t xml:space="preserve">re-traumatizing her by </w:t>
      </w:r>
      <w:r w:rsidR="00AD4591">
        <w:rPr>
          <w:rFonts w:ascii="Times New Roman" w:hAnsi="Times New Roman" w:cs="Times New Roman"/>
        </w:rPr>
        <w:t xml:space="preserve">exposing </w:t>
      </w:r>
      <w:r w:rsidR="00836848">
        <w:rPr>
          <w:rFonts w:ascii="Times New Roman" w:hAnsi="Times New Roman" w:cs="Times New Roman"/>
        </w:rPr>
        <w:t>her</w:t>
      </w:r>
      <w:r w:rsidR="00271711" w:rsidRPr="00B95086">
        <w:rPr>
          <w:rFonts w:ascii="Times New Roman" w:hAnsi="Times New Roman" w:cs="Times New Roman"/>
        </w:rPr>
        <w:t xml:space="preserve"> to additional</w:t>
      </w:r>
      <w:r w:rsidR="00E72A17" w:rsidRPr="00B95086">
        <w:rPr>
          <w:rFonts w:ascii="Times New Roman" w:hAnsi="Times New Roman" w:cs="Times New Roman"/>
        </w:rPr>
        <w:t xml:space="preserve"> psychological </w:t>
      </w:r>
      <w:r w:rsidR="00C75676" w:rsidRPr="00B95086">
        <w:rPr>
          <w:rFonts w:ascii="Times New Roman" w:hAnsi="Times New Roman" w:cs="Times New Roman"/>
        </w:rPr>
        <w:t>harm</w:t>
      </w:r>
      <w:r w:rsidR="00836848">
        <w:rPr>
          <w:rFonts w:ascii="Times New Roman" w:hAnsi="Times New Roman" w:cs="Times New Roman"/>
        </w:rPr>
        <w:t xml:space="preserve">. It also implies that the RPD is satisfied with placing Ms. Barbosa Reis in a position that seriously compromises her </w:t>
      </w:r>
      <w:r w:rsidR="00310024" w:rsidRPr="00B95086">
        <w:rPr>
          <w:rFonts w:ascii="Times New Roman" w:hAnsi="Times New Roman" w:cs="Times New Roman"/>
        </w:rPr>
        <w:t xml:space="preserve">ability </w:t>
      </w:r>
      <w:r w:rsidR="001D2F86" w:rsidRPr="00B95086">
        <w:rPr>
          <w:rFonts w:ascii="Times New Roman" w:hAnsi="Times New Roman" w:cs="Times New Roman"/>
        </w:rPr>
        <w:t xml:space="preserve">to </w:t>
      </w:r>
      <w:r w:rsidR="00BE5CD4" w:rsidRPr="00B95086">
        <w:rPr>
          <w:rFonts w:ascii="Times New Roman" w:hAnsi="Times New Roman" w:cs="Times New Roman"/>
        </w:rPr>
        <w:t>present her case fully and accurately</w:t>
      </w:r>
      <w:r w:rsidRPr="00B95086">
        <w:rPr>
          <w:rFonts w:ascii="Times New Roman" w:hAnsi="Times New Roman" w:cs="Times New Roman"/>
        </w:rPr>
        <w:t>. Th</w:t>
      </w:r>
      <w:r w:rsidR="001D2F86" w:rsidRPr="00B95086">
        <w:rPr>
          <w:rFonts w:ascii="Times New Roman" w:hAnsi="Times New Roman" w:cs="Times New Roman"/>
        </w:rPr>
        <w:t xml:space="preserve">e court in </w:t>
      </w:r>
      <w:r w:rsidR="001D2F86" w:rsidRPr="00B95086">
        <w:rPr>
          <w:rFonts w:ascii="Times New Roman" w:hAnsi="Times New Roman" w:cs="Times New Roman"/>
          <w:i/>
          <w:iCs/>
        </w:rPr>
        <w:t xml:space="preserve">Olah </w:t>
      </w:r>
      <w:r w:rsidRPr="00B95086">
        <w:rPr>
          <w:rFonts w:ascii="Times New Roman" w:hAnsi="Times New Roman" w:cs="Times New Roman"/>
        </w:rPr>
        <w:t xml:space="preserve">strongly </w:t>
      </w:r>
      <w:r w:rsidR="001D2F86" w:rsidRPr="00B95086">
        <w:rPr>
          <w:rFonts w:ascii="Times New Roman" w:hAnsi="Times New Roman" w:cs="Times New Roman"/>
        </w:rPr>
        <w:t>discouraged</w:t>
      </w:r>
      <w:r w:rsidRPr="00B95086">
        <w:rPr>
          <w:rFonts w:ascii="Times New Roman" w:hAnsi="Times New Roman" w:cs="Times New Roman"/>
        </w:rPr>
        <w:t xml:space="preserve"> the RPD from </w:t>
      </w:r>
      <w:r w:rsidR="001D1CDD">
        <w:rPr>
          <w:rFonts w:ascii="Times New Roman" w:hAnsi="Times New Roman" w:cs="Times New Roman"/>
        </w:rPr>
        <w:t>putting</w:t>
      </w:r>
      <w:r w:rsidR="0034032B" w:rsidRPr="00B95086">
        <w:rPr>
          <w:rFonts w:ascii="Times New Roman" w:hAnsi="Times New Roman" w:cs="Times New Roman"/>
        </w:rPr>
        <w:t xml:space="preserve"> claimants in such a position. </w:t>
      </w:r>
      <w:r w:rsidR="003D2178" w:rsidRPr="00B95086">
        <w:rPr>
          <w:rFonts w:ascii="Times New Roman" w:hAnsi="Times New Roman" w:cs="Times New Roman"/>
        </w:rPr>
        <w:t>Ms. Barbosa Reis is diagnosed with MDD and PTSD</w:t>
      </w:r>
      <w:r w:rsidR="00073705" w:rsidRPr="00B95086">
        <w:rPr>
          <w:rFonts w:ascii="Times New Roman" w:hAnsi="Times New Roman" w:cs="Times New Roman"/>
        </w:rPr>
        <w:t xml:space="preserve">. Facing her abuser </w:t>
      </w:r>
      <w:r w:rsidR="00EC08E5">
        <w:rPr>
          <w:rFonts w:ascii="Times New Roman" w:hAnsi="Times New Roman" w:cs="Times New Roman"/>
        </w:rPr>
        <w:t>can be</w:t>
      </w:r>
      <w:r w:rsidR="002A29C8">
        <w:rPr>
          <w:rFonts w:ascii="Times New Roman" w:hAnsi="Times New Roman" w:cs="Times New Roman"/>
        </w:rPr>
        <w:t xml:space="preserve"> psychologically triggering. Such an environment </w:t>
      </w:r>
      <w:r w:rsidR="004D0FE3">
        <w:rPr>
          <w:rFonts w:ascii="Times New Roman" w:hAnsi="Times New Roman" w:cs="Times New Roman"/>
        </w:rPr>
        <w:t>is detrimental to her meaningful participation</w:t>
      </w:r>
      <w:r w:rsidR="00B95086">
        <w:rPr>
          <w:rFonts w:ascii="Times New Roman" w:hAnsi="Times New Roman" w:cs="Times New Roman"/>
        </w:rPr>
        <w:t xml:space="preserve"> in the proceedings</w:t>
      </w:r>
      <w:r w:rsidR="00501BA3">
        <w:rPr>
          <w:rFonts w:ascii="Times New Roman" w:hAnsi="Times New Roman" w:cs="Times New Roman"/>
        </w:rPr>
        <w:t xml:space="preserve"> as there is a serious potential </w:t>
      </w:r>
      <w:r w:rsidR="005622D5">
        <w:rPr>
          <w:rFonts w:ascii="Times New Roman" w:hAnsi="Times New Roman" w:cs="Times New Roman"/>
        </w:rPr>
        <w:t>for it to affect</w:t>
      </w:r>
      <w:r w:rsidR="00B95086">
        <w:rPr>
          <w:rFonts w:ascii="Times New Roman" w:hAnsi="Times New Roman" w:cs="Times New Roman"/>
        </w:rPr>
        <w:t xml:space="preserve"> her ability to answer questions</w:t>
      </w:r>
      <w:r w:rsidR="00F570D5">
        <w:rPr>
          <w:rFonts w:ascii="Times New Roman" w:hAnsi="Times New Roman" w:cs="Times New Roman"/>
        </w:rPr>
        <w:t>,</w:t>
      </w:r>
      <w:r w:rsidR="00B95086">
        <w:rPr>
          <w:rFonts w:ascii="Times New Roman" w:hAnsi="Times New Roman" w:cs="Times New Roman"/>
        </w:rPr>
        <w:t xml:space="preserve"> recall events</w:t>
      </w:r>
      <w:r w:rsidR="00F570D5">
        <w:rPr>
          <w:rFonts w:ascii="Times New Roman" w:hAnsi="Times New Roman" w:cs="Times New Roman"/>
        </w:rPr>
        <w:t xml:space="preserve">, and </w:t>
      </w:r>
      <w:r w:rsidR="00F44BCE">
        <w:rPr>
          <w:rFonts w:ascii="Times New Roman" w:hAnsi="Times New Roman" w:cs="Times New Roman"/>
        </w:rPr>
        <w:t>communicat</w:t>
      </w:r>
      <w:r w:rsidR="00D7300C">
        <w:rPr>
          <w:rFonts w:ascii="Times New Roman" w:hAnsi="Times New Roman" w:cs="Times New Roman"/>
        </w:rPr>
        <w:t>e</w:t>
      </w:r>
      <w:r w:rsidR="00F44BCE">
        <w:rPr>
          <w:rFonts w:ascii="Times New Roman" w:hAnsi="Times New Roman" w:cs="Times New Roman"/>
        </w:rPr>
        <w:t xml:space="preserve"> effectively</w:t>
      </w:r>
      <w:r w:rsidR="00B95086">
        <w:rPr>
          <w:rFonts w:ascii="Times New Roman" w:hAnsi="Times New Roman" w:cs="Times New Roman"/>
        </w:rPr>
        <w:t xml:space="preserve">. </w:t>
      </w:r>
      <w:r w:rsidR="00756E1D">
        <w:rPr>
          <w:rFonts w:ascii="Times New Roman" w:hAnsi="Times New Roman" w:cs="Times New Roman"/>
        </w:rPr>
        <w:t xml:space="preserve">If Ms. Barbosa Reis is unable to present her case, the RPD cannot </w:t>
      </w:r>
      <w:r w:rsidR="008E2D1C">
        <w:rPr>
          <w:rFonts w:ascii="Times New Roman" w:hAnsi="Times New Roman" w:cs="Times New Roman"/>
        </w:rPr>
        <w:t xml:space="preserve">reach a </w:t>
      </w:r>
      <w:r w:rsidR="00167F56">
        <w:rPr>
          <w:rFonts w:ascii="Times New Roman" w:hAnsi="Times New Roman" w:cs="Times New Roman"/>
        </w:rPr>
        <w:t xml:space="preserve">well-reasoned, efficient, or fair determination that is in accordance with the law. </w:t>
      </w:r>
    </w:p>
    <w:p w14:paraId="31B7D2FD" w14:textId="6FA19C93" w:rsidR="003C580F" w:rsidRPr="00B95086" w:rsidRDefault="00674ACB" w:rsidP="00F03C80">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Pr>
          <w:rFonts w:ascii="Times New Roman" w:hAnsi="Times New Roman" w:cs="Times New Roman"/>
        </w:rPr>
        <w:t>The</w:t>
      </w:r>
      <w:r w:rsidR="003C580F">
        <w:rPr>
          <w:rFonts w:ascii="Times New Roman" w:hAnsi="Times New Roman" w:cs="Times New Roman"/>
        </w:rPr>
        <w:t xml:space="preserve"> RPD board member </w:t>
      </w:r>
      <w:r w:rsidR="00B645F2">
        <w:rPr>
          <w:rFonts w:ascii="Times New Roman" w:hAnsi="Times New Roman" w:cs="Times New Roman"/>
        </w:rPr>
        <w:t>incorrectly states</w:t>
      </w:r>
      <w:r w:rsidR="003C580F">
        <w:rPr>
          <w:rFonts w:ascii="Times New Roman" w:hAnsi="Times New Roman" w:cs="Times New Roman"/>
        </w:rPr>
        <w:t xml:space="preserve"> that the last element of the </w:t>
      </w:r>
      <w:r w:rsidR="003C580F" w:rsidRPr="00AB56F2">
        <w:rPr>
          <w:rFonts w:ascii="Times New Roman" w:hAnsi="Times New Roman" w:cs="Times New Roman"/>
          <w:i/>
          <w:iCs/>
        </w:rPr>
        <w:t>Unsolicited Information Policy</w:t>
      </w:r>
      <w:r w:rsidR="00830BFE">
        <w:rPr>
          <w:rFonts w:ascii="Times New Roman" w:hAnsi="Times New Roman" w:cs="Times New Roman"/>
        </w:rPr>
        <w:t xml:space="preserve"> is optional without taking into consideration that if the RPD did call the </w:t>
      </w:r>
      <w:r w:rsidR="00BF04E4">
        <w:rPr>
          <w:rFonts w:ascii="Times New Roman" w:hAnsi="Times New Roman" w:cs="Times New Roman"/>
        </w:rPr>
        <w:t>Respondent’s husband</w:t>
      </w:r>
      <w:r w:rsidR="00830BFE">
        <w:rPr>
          <w:rFonts w:ascii="Times New Roman" w:hAnsi="Times New Roman" w:cs="Times New Roman"/>
        </w:rPr>
        <w:t xml:space="preserve"> as a witness,</w:t>
      </w:r>
      <w:r w:rsidR="00AB56F2">
        <w:rPr>
          <w:rStyle w:val="FootnoteReference"/>
          <w:rFonts w:ascii="Times New Roman" w:hAnsi="Times New Roman" w:cs="Times New Roman"/>
        </w:rPr>
        <w:footnoteReference w:id="25"/>
      </w:r>
      <w:r w:rsidR="00830BFE">
        <w:rPr>
          <w:rFonts w:ascii="Times New Roman" w:hAnsi="Times New Roman" w:cs="Times New Roman"/>
        </w:rPr>
        <w:t xml:space="preserve"> </w:t>
      </w:r>
      <w:r w:rsidR="008D0D1F">
        <w:rPr>
          <w:rFonts w:ascii="Times New Roman" w:hAnsi="Times New Roman" w:cs="Times New Roman"/>
        </w:rPr>
        <w:t>she</w:t>
      </w:r>
      <w:r w:rsidR="00830BFE">
        <w:rPr>
          <w:rFonts w:ascii="Times New Roman" w:hAnsi="Times New Roman" w:cs="Times New Roman"/>
        </w:rPr>
        <w:t xml:space="preserve"> would be at the risk of continued fear</w:t>
      </w:r>
      <w:r w:rsidR="00AB56F2">
        <w:rPr>
          <w:rFonts w:ascii="Times New Roman" w:hAnsi="Times New Roman" w:cs="Times New Roman"/>
        </w:rPr>
        <w:t xml:space="preserve"> </w:t>
      </w:r>
      <w:r w:rsidR="00830BFE">
        <w:rPr>
          <w:rFonts w:ascii="Times New Roman" w:hAnsi="Times New Roman" w:cs="Times New Roman"/>
        </w:rPr>
        <w:t>within the RPD hearing itself</w:t>
      </w:r>
      <w:r w:rsidR="00C57629">
        <w:rPr>
          <w:rFonts w:ascii="Times New Roman" w:hAnsi="Times New Roman" w:cs="Times New Roman"/>
        </w:rPr>
        <w:t>. An RPD</w:t>
      </w:r>
      <w:r w:rsidR="00830BFE">
        <w:rPr>
          <w:rFonts w:ascii="Times New Roman" w:hAnsi="Times New Roman" w:cs="Times New Roman"/>
        </w:rPr>
        <w:t xml:space="preserve"> hearing </w:t>
      </w:r>
      <w:r w:rsidR="00302F04">
        <w:rPr>
          <w:rFonts w:ascii="Times New Roman" w:hAnsi="Times New Roman" w:cs="Times New Roman"/>
        </w:rPr>
        <w:t xml:space="preserve">ought </w:t>
      </w:r>
      <w:r w:rsidR="00830BFE">
        <w:rPr>
          <w:rFonts w:ascii="Times New Roman" w:hAnsi="Times New Roman" w:cs="Times New Roman"/>
        </w:rPr>
        <w:t xml:space="preserve">to be private, confidential, and </w:t>
      </w:r>
      <w:r w:rsidR="00D229D1">
        <w:rPr>
          <w:rFonts w:ascii="Times New Roman" w:hAnsi="Times New Roman" w:cs="Times New Roman"/>
        </w:rPr>
        <w:t xml:space="preserve">be </w:t>
      </w:r>
      <w:r w:rsidR="00830BFE">
        <w:rPr>
          <w:rFonts w:ascii="Times New Roman" w:hAnsi="Times New Roman" w:cs="Times New Roman"/>
        </w:rPr>
        <w:t xml:space="preserve">a </w:t>
      </w:r>
      <w:r w:rsidR="00313EED">
        <w:rPr>
          <w:rFonts w:ascii="Times New Roman" w:hAnsi="Times New Roman" w:cs="Times New Roman"/>
        </w:rPr>
        <w:t xml:space="preserve">space </w:t>
      </w:r>
      <w:r w:rsidR="00830BFE">
        <w:rPr>
          <w:rFonts w:ascii="Times New Roman" w:hAnsi="Times New Roman" w:cs="Times New Roman"/>
        </w:rPr>
        <w:t xml:space="preserve">where a claimant can meaningfully participate without </w:t>
      </w:r>
      <w:r w:rsidR="00C57629">
        <w:rPr>
          <w:rFonts w:ascii="Times New Roman" w:hAnsi="Times New Roman" w:cs="Times New Roman"/>
        </w:rPr>
        <w:t xml:space="preserve">fear of </w:t>
      </w:r>
      <w:r w:rsidR="00830BFE">
        <w:rPr>
          <w:rFonts w:ascii="Times New Roman" w:hAnsi="Times New Roman" w:cs="Times New Roman"/>
        </w:rPr>
        <w:t>interference from their agent of persecution.</w:t>
      </w:r>
      <w:r w:rsidR="00AB56F2">
        <w:rPr>
          <w:rStyle w:val="FootnoteReference"/>
          <w:rFonts w:ascii="Times New Roman" w:hAnsi="Times New Roman" w:cs="Times New Roman"/>
        </w:rPr>
        <w:footnoteReference w:id="26"/>
      </w:r>
      <w:r w:rsidR="00830BFE">
        <w:rPr>
          <w:rFonts w:ascii="Times New Roman" w:hAnsi="Times New Roman" w:cs="Times New Roman"/>
        </w:rPr>
        <w:t xml:space="preserve"> The RPD board member did not </w:t>
      </w:r>
      <w:r w:rsidR="00AB56F2">
        <w:rPr>
          <w:rFonts w:ascii="Times New Roman" w:hAnsi="Times New Roman" w:cs="Times New Roman"/>
        </w:rPr>
        <w:t xml:space="preserve">provide any alternative for how this last element of the </w:t>
      </w:r>
      <w:r w:rsidR="00AB56F2" w:rsidRPr="00D7300C">
        <w:rPr>
          <w:rFonts w:ascii="Times New Roman" w:hAnsi="Times New Roman" w:cs="Times New Roman"/>
          <w:i/>
          <w:iCs/>
        </w:rPr>
        <w:t>Unsolicited Information Policy</w:t>
      </w:r>
      <w:r w:rsidR="0022163D">
        <w:rPr>
          <w:rFonts w:ascii="Times New Roman" w:hAnsi="Times New Roman" w:cs="Times New Roman"/>
        </w:rPr>
        <w:t xml:space="preserve"> </w:t>
      </w:r>
      <w:r w:rsidR="00AB56F2">
        <w:rPr>
          <w:rFonts w:ascii="Times New Roman" w:hAnsi="Times New Roman" w:cs="Times New Roman"/>
        </w:rPr>
        <w:t xml:space="preserve">could potentially be applied </w:t>
      </w:r>
      <w:r w:rsidR="00E31FDF">
        <w:rPr>
          <w:rFonts w:ascii="Times New Roman" w:hAnsi="Times New Roman" w:cs="Times New Roman"/>
        </w:rPr>
        <w:t xml:space="preserve">to prevent </w:t>
      </w:r>
      <w:r w:rsidR="00D80F3C">
        <w:rPr>
          <w:rFonts w:ascii="Times New Roman" w:hAnsi="Times New Roman" w:cs="Times New Roman"/>
        </w:rPr>
        <w:t>further adverse health outcomes for</w:t>
      </w:r>
      <w:r w:rsidR="00AB56F2">
        <w:rPr>
          <w:rFonts w:ascii="Times New Roman" w:hAnsi="Times New Roman" w:cs="Times New Roman"/>
        </w:rPr>
        <w:t xml:space="preserve"> Ms. Barbosa Reis. </w:t>
      </w:r>
    </w:p>
    <w:p w14:paraId="31AF5552" w14:textId="7BA0882A" w:rsidR="00F226FB" w:rsidRPr="004B5B1D" w:rsidRDefault="00EE4B6D"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Pr>
          <w:rFonts w:ascii="Times New Roman" w:hAnsi="Times New Roman" w:cs="Times New Roman"/>
        </w:rPr>
        <w:lastRenderedPageBreak/>
        <w:t>As provided</w:t>
      </w:r>
      <w:r w:rsidR="002418FF">
        <w:rPr>
          <w:rFonts w:ascii="Times New Roman" w:hAnsi="Times New Roman" w:cs="Times New Roman"/>
        </w:rPr>
        <w:t xml:space="preserve"> for</w:t>
      </w:r>
      <w:r>
        <w:rPr>
          <w:rFonts w:ascii="Times New Roman" w:hAnsi="Times New Roman" w:cs="Times New Roman"/>
        </w:rPr>
        <w:t xml:space="preserve"> in subsections 170(g) and (h) of the </w:t>
      </w:r>
      <w:r>
        <w:rPr>
          <w:rFonts w:ascii="Times New Roman" w:hAnsi="Times New Roman" w:cs="Times New Roman"/>
          <w:i/>
          <w:iCs/>
        </w:rPr>
        <w:t>IRPA</w:t>
      </w:r>
      <w:r w:rsidR="00A464A7">
        <w:rPr>
          <w:rFonts w:ascii="Times New Roman" w:hAnsi="Times New Roman" w:cs="Times New Roman"/>
          <w:i/>
          <w:iCs/>
        </w:rPr>
        <w:t>,</w:t>
      </w:r>
      <w:r>
        <w:rPr>
          <w:rFonts w:ascii="Times New Roman" w:hAnsi="Times New Roman" w:cs="Times New Roman"/>
          <w:i/>
          <w:iCs/>
        </w:rPr>
        <w:t xml:space="preserve"> </w:t>
      </w:r>
      <w:r w:rsidR="00C75676">
        <w:rPr>
          <w:rFonts w:ascii="Times New Roman" w:hAnsi="Times New Roman" w:cs="Times New Roman"/>
        </w:rPr>
        <w:t>the RPD is authorized to admit evidence</w:t>
      </w:r>
      <w:r w:rsidR="000D6366">
        <w:rPr>
          <w:rFonts w:ascii="Times New Roman" w:hAnsi="Times New Roman" w:cs="Times New Roman"/>
        </w:rPr>
        <w:t xml:space="preserve"> that it determines is appropriate</w:t>
      </w:r>
      <w:r w:rsidR="0038727F">
        <w:rPr>
          <w:rFonts w:ascii="Times New Roman" w:hAnsi="Times New Roman" w:cs="Times New Roman"/>
        </w:rPr>
        <w:t xml:space="preserve"> for the proceedings before it.</w:t>
      </w:r>
      <w:r w:rsidR="00C75676">
        <w:rPr>
          <w:rFonts w:ascii="Times New Roman" w:hAnsi="Times New Roman" w:cs="Times New Roman"/>
        </w:rPr>
        <w:t xml:space="preserve"> However, th</w:t>
      </w:r>
      <w:r w:rsidR="003A3838">
        <w:rPr>
          <w:rFonts w:ascii="Times New Roman" w:hAnsi="Times New Roman" w:cs="Times New Roman"/>
        </w:rPr>
        <w:t xml:space="preserve">e </w:t>
      </w:r>
      <w:r w:rsidR="003A3838">
        <w:rPr>
          <w:rFonts w:ascii="Times New Roman" w:hAnsi="Times New Roman" w:cs="Times New Roman"/>
          <w:i/>
          <w:iCs/>
        </w:rPr>
        <w:t xml:space="preserve">IRPA </w:t>
      </w:r>
      <w:r w:rsidR="003A3838">
        <w:rPr>
          <w:rFonts w:ascii="Times New Roman" w:hAnsi="Times New Roman" w:cs="Times New Roman"/>
        </w:rPr>
        <w:t xml:space="preserve">does not </w:t>
      </w:r>
      <w:r w:rsidR="00C75676">
        <w:rPr>
          <w:rFonts w:ascii="Times New Roman" w:hAnsi="Times New Roman" w:cs="Times New Roman"/>
        </w:rPr>
        <w:t xml:space="preserve">permit the RPD to admit </w:t>
      </w:r>
      <w:r w:rsidR="00986AE7">
        <w:rPr>
          <w:rFonts w:ascii="Times New Roman" w:hAnsi="Times New Roman" w:cs="Times New Roman"/>
        </w:rPr>
        <w:t>all</w:t>
      </w:r>
      <w:r w:rsidR="00C75676">
        <w:rPr>
          <w:rFonts w:ascii="Times New Roman" w:hAnsi="Times New Roman" w:cs="Times New Roman"/>
        </w:rPr>
        <w:t xml:space="preserve"> evidence regardless of whether it can be adequately tested or not. </w:t>
      </w:r>
      <w:r w:rsidR="0007634B">
        <w:rPr>
          <w:rFonts w:ascii="Times New Roman" w:hAnsi="Times New Roman" w:cs="Times New Roman"/>
        </w:rPr>
        <w:t>The</w:t>
      </w:r>
      <w:r w:rsidR="00492253">
        <w:rPr>
          <w:rFonts w:ascii="Times New Roman" w:hAnsi="Times New Roman" w:cs="Times New Roman"/>
        </w:rPr>
        <w:t xml:space="preserve"> Unsolicited Information and Transcript </w:t>
      </w:r>
      <w:r w:rsidR="0052084F">
        <w:rPr>
          <w:rFonts w:ascii="Times New Roman" w:hAnsi="Times New Roman" w:cs="Times New Roman"/>
        </w:rPr>
        <w:t>cannot be adequately tested by calling the agent of persecution as a witness without inflicting further harm on Ms. Barbosa Reis.</w:t>
      </w:r>
      <w:r w:rsidR="00A96027">
        <w:rPr>
          <w:rFonts w:ascii="Times New Roman" w:hAnsi="Times New Roman" w:cs="Times New Roman"/>
        </w:rPr>
        <w:t xml:space="preserve"> </w:t>
      </w:r>
      <w:r w:rsidR="00F00B8A">
        <w:rPr>
          <w:rFonts w:ascii="Times New Roman" w:hAnsi="Times New Roman" w:cs="Times New Roman"/>
        </w:rPr>
        <w:t xml:space="preserve">Without </w:t>
      </w:r>
      <w:r w:rsidR="00CD77B0">
        <w:rPr>
          <w:rFonts w:ascii="Times New Roman" w:hAnsi="Times New Roman" w:cs="Times New Roman"/>
        </w:rPr>
        <w:t xml:space="preserve">alternate methods of </w:t>
      </w:r>
      <w:r w:rsidR="00401CA7">
        <w:rPr>
          <w:rFonts w:ascii="Times New Roman" w:hAnsi="Times New Roman" w:cs="Times New Roman"/>
        </w:rPr>
        <w:t>testing the evidence, t</w:t>
      </w:r>
      <w:r w:rsidR="00EB0424">
        <w:rPr>
          <w:rFonts w:ascii="Times New Roman" w:hAnsi="Times New Roman" w:cs="Times New Roman"/>
        </w:rPr>
        <w:t xml:space="preserve">he </w:t>
      </w:r>
      <w:r w:rsidR="00A96027">
        <w:rPr>
          <w:rFonts w:ascii="Times New Roman" w:hAnsi="Times New Roman" w:cs="Times New Roman"/>
        </w:rPr>
        <w:t xml:space="preserve">RPD </w:t>
      </w:r>
      <w:r w:rsidR="00B0232F">
        <w:rPr>
          <w:rFonts w:ascii="Times New Roman" w:hAnsi="Times New Roman" w:cs="Times New Roman"/>
        </w:rPr>
        <w:t>cannot</w:t>
      </w:r>
      <w:r w:rsidR="00A96027">
        <w:rPr>
          <w:rFonts w:ascii="Times New Roman" w:hAnsi="Times New Roman" w:cs="Times New Roman"/>
        </w:rPr>
        <w:t xml:space="preserve"> </w:t>
      </w:r>
      <w:r w:rsidR="00B0232F">
        <w:rPr>
          <w:rFonts w:ascii="Times New Roman" w:hAnsi="Times New Roman" w:cs="Times New Roman"/>
        </w:rPr>
        <w:t>admit the Unsolicited Information and Transcript</w:t>
      </w:r>
      <w:r w:rsidR="00A96027">
        <w:rPr>
          <w:rFonts w:ascii="Times New Roman" w:hAnsi="Times New Roman" w:cs="Times New Roman"/>
        </w:rPr>
        <w:t xml:space="preserve"> </w:t>
      </w:r>
      <w:r w:rsidR="00A57F7D">
        <w:rPr>
          <w:rFonts w:ascii="Times New Roman" w:hAnsi="Times New Roman" w:cs="Times New Roman"/>
        </w:rPr>
        <w:t>from the agent of persecution</w:t>
      </w:r>
      <w:r w:rsidR="00AB5518">
        <w:rPr>
          <w:rFonts w:ascii="Times New Roman" w:hAnsi="Times New Roman" w:cs="Times New Roman"/>
        </w:rPr>
        <w:t xml:space="preserve">. The </w:t>
      </w:r>
      <w:r w:rsidR="00157A86">
        <w:rPr>
          <w:rFonts w:ascii="Times New Roman" w:hAnsi="Times New Roman" w:cs="Times New Roman"/>
        </w:rPr>
        <w:t xml:space="preserve">certified question must </w:t>
      </w:r>
      <w:r w:rsidR="00981FBD">
        <w:rPr>
          <w:rFonts w:ascii="Times New Roman" w:hAnsi="Times New Roman" w:cs="Times New Roman"/>
        </w:rPr>
        <w:t xml:space="preserve">therefore </w:t>
      </w:r>
      <w:r w:rsidR="00157A86">
        <w:rPr>
          <w:rFonts w:ascii="Times New Roman" w:hAnsi="Times New Roman" w:cs="Times New Roman"/>
        </w:rPr>
        <w:t xml:space="preserve">be answered in the negative. </w:t>
      </w:r>
    </w:p>
    <w:p w14:paraId="18D7CDDF" w14:textId="2F51CC9D" w:rsidR="00355EB2" w:rsidRPr="004B5B1D" w:rsidRDefault="00355EB2" w:rsidP="00251A57">
      <w:pPr>
        <w:pStyle w:val="ListParagraph"/>
        <w:spacing w:before="100" w:beforeAutospacing="1" w:after="100" w:afterAutospacing="1" w:line="480" w:lineRule="auto"/>
        <w:ind w:left="360"/>
        <w:jc w:val="both"/>
        <w:rPr>
          <w:rFonts w:ascii="Times New Roman" w:hAnsi="Times New Roman" w:cs="Times New Roman"/>
          <w:b/>
          <w:bCs/>
        </w:rPr>
      </w:pPr>
      <w:r w:rsidRPr="004B5B1D">
        <w:rPr>
          <w:rFonts w:ascii="Times New Roman" w:hAnsi="Times New Roman" w:cs="Times New Roman"/>
          <w:b/>
          <w:bCs/>
        </w:rPr>
        <w:t xml:space="preserve">B) </w:t>
      </w:r>
      <w:r w:rsidR="007D300E" w:rsidRPr="004B5B1D">
        <w:rPr>
          <w:rFonts w:ascii="Times New Roman" w:hAnsi="Times New Roman" w:cs="Times New Roman"/>
          <w:b/>
          <w:bCs/>
        </w:rPr>
        <w:t>Procedural fairness has not been met.</w:t>
      </w:r>
    </w:p>
    <w:p w14:paraId="45229F07" w14:textId="77475114" w:rsidR="00355EB2" w:rsidRPr="004B5B1D" w:rsidRDefault="00355EB2"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Although decision-makers can limit a party’s right to adduce evidence on considerations of irrelevance, confidentiality, prejudicial effects, or repetitiveness, the jurisprudence indicates that the RPD must respect the principles of procedural fairness.</w:t>
      </w:r>
      <w:r w:rsidRPr="004B5B1D">
        <w:rPr>
          <w:rFonts w:ascii="Times New Roman" w:hAnsi="Times New Roman" w:cs="Times New Roman"/>
          <w:b/>
          <w:bCs/>
        </w:rPr>
        <w:t xml:space="preserve"> </w:t>
      </w:r>
      <w:r w:rsidRPr="004B5B1D">
        <w:rPr>
          <w:rFonts w:ascii="Times New Roman" w:hAnsi="Times New Roman" w:cs="Times New Roman"/>
        </w:rPr>
        <w:t>A</w:t>
      </w:r>
      <w:r w:rsidRPr="004B5B1D">
        <w:rPr>
          <w:rFonts w:ascii="Times New Roman" w:hAnsi="Times New Roman" w:cs="Times New Roman"/>
          <w:b/>
          <w:bCs/>
        </w:rPr>
        <w:t xml:space="preserve"> </w:t>
      </w:r>
      <w:r w:rsidRPr="004B5B1D">
        <w:rPr>
          <w:rFonts w:ascii="Times New Roman" w:hAnsi="Times New Roman" w:cs="Times New Roman"/>
        </w:rPr>
        <w:t xml:space="preserve">decision to admit and rely on evidence which may not be reliable, credible, or trustworthy can breach procedural fairness. </w:t>
      </w:r>
      <w:r w:rsidRPr="004B5B1D">
        <w:rPr>
          <w:rFonts w:ascii="Times New Roman" w:hAnsi="Times New Roman" w:cs="Times New Roman"/>
          <w:i/>
          <w:iCs/>
        </w:rPr>
        <w:t xml:space="preserve">Fong v Canada </w:t>
      </w:r>
      <w:r w:rsidRPr="004B5B1D">
        <w:rPr>
          <w:rFonts w:ascii="Times New Roman" w:hAnsi="Times New Roman" w:cs="Times New Roman"/>
        </w:rPr>
        <w:t>is an example of this principle.</w:t>
      </w:r>
      <w:r w:rsidR="00FE37BF" w:rsidRPr="004B5B1D">
        <w:rPr>
          <w:rStyle w:val="FootnoteReference"/>
          <w:rFonts w:ascii="Times New Roman" w:hAnsi="Times New Roman" w:cs="Times New Roman"/>
          <w:i/>
          <w:iCs/>
        </w:rPr>
        <w:footnoteReference w:id="27"/>
      </w:r>
      <w:r w:rsidRPr="004B5B1D">
        <w:rPr>
          <w:rFonts w:ascii="Times New Roman" w:hAnsi="Times New Roman" w:cs="Times New Roman"/>
        </w:rPr>
        <w:t> </w:t>
      </w:r>
    </w:p>
    <w:p w14:paraId="489A572C" w14:textId="6F6629C1" w:rsidR="00355EB2" w:rsidRPr="004B5B1D" w:rsidRDefault="00F226FB"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 xml:space="preserve">In </w:t>
      </w:r>
      <w:r w:rsidRPr="004B5B1D">
        <w:rPr>
          <w:rFonts w:ascii="Times New Roman" w:hAnsi="Times New Roman" w:cs="Times New Roman"/>
          <w:i/>
          <w:iCs/>
        </w:rPr>
        <w:t xml:space="preserve">Fong, </w:t>
      </w:r>
      <w:r w:rsidRPr="004B5B1D">
        <w:rPr>
          <w:rFonts w:ascii="Times New Roman" w:hAnsi="Times New Roman" w:cs="Times New Roman"/>
        </w:rPr>
        <w:t xml:space="preserve">the Immigration Appeal Division (“IAD”) erred by admitting police reports in the applicant’s hearing to stay his removal on humanitarian and compassionate grounds. The police reports related to luring and assault charges for which the applicant was acquitted. The Federal Court held that the IAD failed to determine that the police reports were credible or trustworthy, as set out in section 175(1)(c) of </w:t>
      </w:r>
      <w:r w:rsidR="007E0ACC" w:rsidRPr="004B5B1D">
        <w:rPr>
          <w:rFonts w:ascii="Times New Roman" w:hAnsi="Times New Roman" w:cs="Times New Roman"/>
          <w:i/>
          <w:iCs/>
        </w:rPr>
        <w:t>IRPA</w:t>
      </w:r>
      <w:r w:rsidR="00FE37BF" w:rsidRPr="004B5B1D">
        <w:rPr>
          <w:rFonts w:ascii="Times New Roman" w:hAnsi="Times New Roman" w:cs="Times New Roman"/>
          <w:i/>
          <w:iCs/>
        </w:rPr>
        <w:t>.</w:t>
      </w:r>
      <w:r w:rsidRPr="004B5B1D">
        <w:rPr>
          <w:rStyle w:val="FootnoteReference"/>
          <w:rFonts w:ascii="Times New Roman" w:hAnsi="Times New Roman" w:cs="Times New Roman"/>
        </w:rPr>
        <w:footnoteReference w:id="28"/>
      </w:r>
      <w:r w:rsidR="00FE37BF" w:rsidRPr="004B5B1D">
        <w:rPr>
          <w:rFonts w:ascii="Times New Roman" w:hAnsi="Times New Roman" w:cs="Times New Roman"/>
        </w:rPr>
        <w:t xml:space="preserve"> </w:t>
      </w:r>
      <w:r w:rsidRPr="004B5B1D">
        <w:rPr>
          <w:rFonts w:ascii="Times New Roman" w:hAnsi="Times New Roman" w:cs="Times New Roman"/>
        </w:rPr>
        <w:t>By admitting the reports, the IAD breached the applicant’s right to a fair hearing because the IAD member “...was not fully successful in removing from her mind the statements contained in the police reports relating to the charges on which the applicant was acquitted</w:t>
      </w:r>
      <w:r w:rsidR="0036726F" w:rsidRPr="004B5B1D">
        <w:rPr>
          <w:rFonts w:ascii="Times New Roman" w:hAnsi="Times New Roman" w:cs="Times New Roman"/>
        </w:rPr>
        <w:t>.”</w:t>
      </w:r>
      <w:r w:rsidRPr="004B5B1D">
        <w:rPr>
          <w:rStyle w:val="FootnoteReference"/>
          <w:rFonts w:ascii="Times New Roman" w:hAnsi="Times New Roman" w:cs="Times New Roman"/>
        </w:rPr>
        <w:footnoteReference w:id="29"/>
      </w:r>
      <w:r w:rsidRPr="004B5B1D">
        <w:rPr>
          <w:rFonts w:ascii="Times New Roman" w:hAnsi="Times New Roman" w:cs="Times New Roman"/>
        </w:rPr>
        <w:t xml:space="preserve"> The IAD Member’s decision contained wording that indicates she focused her </w:t>
      </w:r>
      <w:r w:rsidRPr="004B5B1D">
        <w:rPr>
          <w:rFonts w:ascii="Times New Roman" w:hAnsi="Times New Roman" w:cs="Times New Roman"/>
        </w:rPr>
        <w:lastRenderedPageBreak/>
        <w:t>decision on the applicant’s alleged “sexual offence”</w:t>
      </w:r>
      <w:r w:rsidR="0036726F" w:rsidRPr="004B5B1D">
        <w:rPr>
          <w:rFonts w:ascii="Times New Roman" w:hAnsi="Times New Roman" w:cs="Times New Roman"/>
        </w:rPr>
        <w:t>.</w:t>
      </w:r>
      <w:r w:rsidRPr="004B5B1D">
        <w:rPr>
          <w:rStyle w:val="FootnoteReference"/>
          <w:rFonts w:ascii="Times New Roman" w:hAnsi="Times New Roman" w:cs="Times New Roman"/>
        </w:rPr>
        <w:footnoteReference w:id="30"/>
      </w:r>
      <w:r w:rsidRPr="004B5B1D">
        <w:rPr>
          <w:rFonts w:ascii="Times New Roman" w:hAnsi="Times New Roman" w:cs="Times New Roman"/>
        </w:rPr>
        <w:t xml:space="preserve"> Consequently, the applicant did not receive a fair and impartial hearing</w:t>
      </w:r>
      <w:r w:rsidR="0036726F" w:rsidRPr="004B5B1D">
        <w:rPr>
          <w:rFonts w:ascii="Times New Roman" w:hAnsi="Times New Roman" w:cs="Times New Roman"/>
        </w:rPr>
        <w:t>.</w:t>
      </w:r>
      <w:r w:rsidRPr="004B5B1D">
        <w:rPr>
          <w:rStyle w:val="FootnoteReference"/>
          <w:rFonts w:ascii="Times New Roman" w:hAnsi="Times New Roman" w:cs="Times New Roman"/>
        </w:rPr>
        <w:footnoteReference w:id="31"/>
      </w:r>
    </w:p>
    <w:p w14:paraId="5F8EF0B2" w14:textId="77777777" w:rsidR="00355EB2" w:rsidRPr="004B5B1D" w:rsidRDefault="00F226FB"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 xml:space="preserve">The admission of the Unsolicited Information and Transcript in the present case led to a similar breach of procedural fairness as was in </w:t>
      </w:r>
      <w:r w:rsidRPr="004B5B1D">
        <w:rPr>
          <w:rFonts w:ascii="Times New Roman" w:hAnsi="Times New Roman" w:cs="Times New Roman"/>
          <w:i/>
          <w:iCs/>
        </w:rPr>
        <w:t>Fong</w:t>
      </w:r>
      <w:r w:rsidRPr="004B5B1D">
        <w:rPr>
          <w:rFonts w:ascii="Times New Roman" w:hAnsi="Times New Roman" w:cs="Times New Roman"/>
        </w:rPr>
        <w:t xml:space="preserve">. </w:t>
      </w:r>
    </w:p>
    <w:p w14:paraId="589CDC91" w14:textId="33972AEE" w:rsidR="00355EB2" w:rsidRPr="004B5B1D" w:rsidRDefault="00F226FB"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In his reasons, the RPD member wrote that the Unsolicited Information “...includes letters from family and friends in Brazil, who corroborate that he [the Respondent’s husband] is a good father and that they have never seen him act violently towards the claimants”</w:t>
      </w:r>
      <w:r w:rsidR="0036726F" w:rsidRPr="004B5B1D">
        <w:rPr>
          <w:rFonts w:ascii="Times New Roman" w:hAnsi="Times New Roman" w:cs="Times New Roman"/>
        </w:rPr>
        <w:t>.</w:t>
      </w:r>
      <w:r w:rsidRPr="004B5B1D">
        <w:rPr>
          <w:rStyle w:val="FootnoteReference"/>
          <w:rFonts w:ascii="Times New Roman" w:hAnsi="Times New Roman" w:cs="Times New Roman"/>
        </w:rPr>
        <w:footnoteReference w:id="32"/>
      </w:r>
      <w:r w:rsidRPr="004B5B1D">
        <w:rPr>
          <w:rFonts w:ascii="Times New Roman" w:hAnsi="Times New Roman" w:cs="Times New Roman"/>
        </w:rPr>
        <w:t xml:space="preserve"> The RPD member then confirms that he places “significant weight on these documents”</w:t>
      </w:r>
      <w:r w:rsidR="0036726F" w:rsidRPr="004B5B1D">
        <w:rPr>
          <w:rFonts w:ascii="Times New Roman" w:hAnsi="Times New Roman" w:cs="Times New Roman"/>
        </w:rPr>
        <w:t>.</w:t>
      </w:r>
      <w:r w:rsidRPr="004B5B1D">
        <w:rPr>
          <w:rStyle w:val="FootnoteReference"/>
          <w:rFonts w:ascii="Times New Roman" w:hAnsi="Times New Roman" w:cs="Times New Roman"/>
        </w:rPr>
        <w:footnoteReference w:id="33"/>
      </w:r>
      <w:r w:rsidRPr="004B5B1D">
        <w:rPr>
          <w:rFonts w:ascii="Times New Roman" w:hAnsi="Times New Roman" w:cs="Times New Roman"/>
        </w:rPr>
        <w:t xml:space="preserve"> The phrase “these documents” refers to the compilation of the Transcript from the husband’s refugee hearing, RPD decision in his refuge claim, and the Unsolicited Information. From this body of evidence, the RPD member makes the character inference that the husband, being such a “good father”, would not abuse his wife or children. It is apparent that the RPD member used the husband’s untested evidence to establish a factual foundation on which he subsequently assessed Ms. Barbosa Reis’ evidence.</w:t>
      </w:r>
    </w:p>
    <w:p w14:paraId="4E31A735" w14:textId="23024361" w:rsidR="00F226FB" w:rsidRPr="004B5B1D" w:rsidRDefault="00F226FB"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 xml:space="preserve">The RPD member in the present case and the IAD member in </w:t>
      </w:r>
      <w:r w:rsidRPr="004B5B1D">
        <w:rPr>
          <w:rFonts w:ascii="Times New Roman" w:hAnsi="Times New Roman" w:cs="Times New Roman"/>
          <w:i/>
          <w:iCs/>
        </w:rPr>
        <w:t xml:space="preserve">Fong </w:t>
      </w:r>
      <w:r w:rsidRPr="004B5B1D">
        <w:rPr>
          <w:rFonts w:ascii="Times New Roman" w:hAnsi="Times New Roman" w:cs="Times New Roman"/>
        </w:rPr>
        <w:t>committed similar errors. Both decision-makers admitted and relied on evidence that was not found to be credible or trustworthy. Close examination of the RPD member’s decision reveals that he was unable to fully remove from his mind the untested statements from the husband’s evidence. This tainted decision-making process deprived Ms. Barbosa Reis of her right to a fair hearing.</w:t>
      </w:r>
    </w:p>
    <w:p w14:paraId="26494D19" w14:textId="77777777" w:rsidR="00DA0E3B" w:rsidRPr="004B5B1D" w:rsidRDefault="00DA0E3B" w:rsidP="00251A57">
      <w:pPr>
        <w:spacing w:before="100" w:beforeAutospacing="1" w:after="100" w:afterAutospacing="1" w:line="480" w:lineRule="auto"/>
        <w:jc w:val="both"/>
        <w:rPr>
          <w:rFonts w:ascii="Times New Roman" w:hAnsi="Times New Roman" w:cs="Times New Roman"/>
          <w:b/>
          <w:bCs/>
        </w:rPr>
      </w:pPr>
      <w:r w:rsidRPr="004B5B1D">
        <w:rPr>
          <w:rFonts w:ascii="Times New Roman" w:hAnsi="Times New Roman" w:cs="Times New Roman"/>
          <w:b/>
          <w:bCs/>
        </w:rPr>
        <w:lastRenderedPageBreak/>
        <w:t xml:space="preserve">2) In the alternative, if this Court finds that the RPD can consider the Unsolicited Information and Transcript, the RPD nevertheless erred in its decision. </w:t>
      </w:r>
    </w:p>
    <w:p w14:paraId="28DFA1A7" w14:textId="20DAEFC8" w:rsidR="00DA0E3B" w:rsidRPr="004B5B1D" w:rsidRDefault="00DA0E3B" w:rsidP="00251A57">
      <w:pPr>
        <w:pStyle w:val="ListParagraph"/>
        <w:spacing w:before="100" w:beforeAutospacing="1" w:after="100" w:afterAutospacing="1" w:line="480" w:lineRule="auto"/>
        <w:ind w:left="360"/>
        <w:jc w:val="both"/>
        <w:rPr>
          <w:rFonts w:ascii="Times New Roman" w:hAnsi="Times New Roman" w:cs="Times New Roman"/>
          <w:b/>
          <w:bCs/>
        </w:rPr>
      </w:pPr>
      <w:r w:rsidRPr="004B5B1D">
        <w:rPr>
          <w:rFonts w:ascii="Times New Roman" w:hAnsi="Times New Roman" w:cs="Times New Roman"/>
          <w:b/>
          <w:bCs/>
        </w:rPr>
        <w:t>A) The</w:t>
      </w:r>
      <w:r w:rsidR="007D300E" w:rsidRPr="004B5B1D">
        <w:rPr>
          <w:rFonts w:ascii="Times New Roman" w:hAnsi="Times New Roman" w:cs="Times New Roman"/>
          <w:b/>
          <w:bCs/>
        </w:rPr>
        <w:t xml:space="preserve"> RPD’s preference for the agent of persecution’s evidence was inadequately explained</w:t>
      </w:r>
      <w:r w:rsidRPr="004B5B1D">
        <w:rPr>
          <w:rFonts w:ascii="Times New Roman" w:hAnsi="Times New Roman" w:cs="Times New Roman"/>
          <w:b/>
          <w:bCs/>
        </w:rPr>
        <w:t xml:space="preserve">.  </w:t>
      </w:r>
    </w:p>
    <w:p w14:paraId="4F9DBB33" w14:textId="68FA107D" w:rsidR="00DA0E3B" w:rsidRPr="004B5B1D" w:rsidRDefault="00451B4A"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As c</w:t>
      </w:r>
      <w:r w:rsidR="0036726F" w:rsidRPr="004B5B1D">
        <w:rPr>
          <w:rFonts w:ascii="Times New Roman" w:hAnsi="Times New Roman" w:cs="Times New Roman"/>
        </w:rPr>
        <w:t>onfirmed by</w:t>
      </w:r>
      <w:r w:rsidRPr="004B5B1D">
        <w:rPr>
          <w:rFonts w:ascii="Times New Roman" w:hAnsi="Times New Roman" w:cs="Times New Roman"/>
        </w:rPr>
        <w:t xml:space="preserve"> </w:t>
      </w:r>
      <w:r w:rsidRPr="004B5B1D">
        <w:rPr>
          <w:rFonts w:ascii="Times New Roman" w:hAnsi="Times New Roman" w:cs="Times New Roman"/>
          <w:i/>
          <w:iCs/>
        </w:rPr>
        <w:t>Vavilov</w:t>
      </w:r>
      <w:r w:rsidRPr="004B5B1D">
        <w:rPr>
          <w:rFonts w:ascii="Times New Roman" w:hAnsi="Times New Roman" w:cs="Times New Roman"/>
        </w:rPr>
        <w:t>, the Board is required to justify its decisions with adequate reasons that are “transparent, intelligible, internally coherent, grounded in the evidence and based on a logical chain of analysis”.</w:t>
      </w:r>
      <w:r w:rsidRPr="004B5B1D">
        <w:rPr>
          <w:rStyle w:val="FootnoteReference"/>
          <w:rFonts w:ascii="Times New Roman" w:hAnsi="Times New Roman" w:cs="Times New Roman"/>
        </w:rPr>
        <w:t xml:space="preserve"> </w:t>
      </w:r>
      <w:r w:rsidRPr="004B5B1D">
        <w:rPr>
          <w:rStyle w:val="FootnoteReference"/>
          <w:rFonts w:ascii="Times New Roman" w:hAnsi="Times New Roman" w:cs="Times New Roman"/>
        </w:rPr>
        <w:footnoteReference w:id="34"/>
      </w:r>
      <w:r w:rsidRPr="004B5B1D">
        <w:rPr>
          <w:rFonts w:ascii="Times New Roman" w:hAnsi="Times New Roman" w:cs="Times New Roman"/>
        </w:rPr>
        <w:t xml:space="preserve"> These reasons must explain how and why the Board made a particular determination. The determinative issue in the RPD hearing was credibility. Since a negative credibility determination is detrimental to the success of a claim, the </w:t>
      </w:r>
      <w:r w:rsidR="009B6940" w:rsidRPr="004B5B1D">
        <w:rPr>
          <w:rFonts w:ascii="Times New Roman" w:hAnsi="Times New Roman" w:cs="Times New Roman"/>
        </w:rPr>
        <w:t>B</w:t>
      </w:r>
      <w:r w:rsidRPr="004B5B1D">
        <w:rPr>
          <w:rFonts w:ascii="Times New Roman" w:hAnsi="Times New Roman" w:cs="Times New Roman"/>
        </w:rPr>
        <w:t>oard’s reasons for its negative or positive credibility determination must be made in clear and in unmistakable terms.</w:t>
      </w:r>
      <w:r w:rsidRPr="004B5B1D">
        <w:rPr>
          <w:rStyle w:val="FootnoteReference"/>
          <w:rFonts w:ascii="Times New Roman" w:hAnsi="Times New Roman" w:cs="Times New Roman"/>
        </w:rPr>
        <w:footnoteReference w:id="35"/>
      </w:r>
    </w:p>
    <w:p w14:paraId="73110EC9" w14:textId="77777777" w:rsidR="00DA0E3B" w:rsidRPr="004B5B1D" w:rsidRDefault="00DE668A"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Where</w:t>
      </w:r>
      <w:r w:rsidR="00451B4A" w:rsidRPr="004B5B1D">
        <w:rPr>
          <w:rFonts w:ascii="Times New Roman" w:hAnsi="Times New Roman" w:cs="Times New Roman"/>
        </w:rPr>
        <w:t xml:space="preserve"> there is conflicting documentary evidence, as submitted by Mr. Alves Barbosa and Ms. Barbosa Reis, the RPD must analyze the conflicting evidence and explain why it prefers one documentary evidence over another.</w:t>
      </w:r>
      <w:r w:rsidR="00451B4A" w:rsidRPr="004B5B1D">
        <w:rPr>
          <w:rStyle w:val="FootnoteReference"/>
          <w:rFonts w:ascii="Times New Roman" w:hAnsi="Times New Roman" w:cs="Times New Roman"/>
        </w:rPr>
        <w:footnoteReference w:id="36"/>
      </w:r>
      <w:r w:rsidR="00451B4A" w:rsidRPr="004B5B1D">
        <w:rPr>
          <w:rFonts w:ascii="Times New Roman" w:hAnsi="Times New Roman" w:cs="Times New Roman"/>
        </w:rPr>
        <w:t xml:space="preserve"> “That usually includes an obligation to provide explanations and examples”.</w:t>
      </w:r>
      <w:r w:rsidR="00451B4A" w:rsidRPr="004B5B1D">
        <w:rPr>
          <w:rStyle w:val="FootnoteReference"/>
          <w:rFonts w:ascii="Times New Roman" w:hAnsi="Times New Roman" w:cs="Times New Roman"/>
        </w:rPr>
        <w:footnoteReference w:id="37"/>
      </w:r>
      <w:r w:rsidR="00451B4A" w:rsidRPr="004B5B1D">
        <w:rPr>
          <w:rFonts w:ascii="Times New Roman" w:hAnsi="Times New Roman" w:cs="Times New Roman"/>
        </w:rPr>
        <w:t xml:space="preserve"> </w:t>
      </w:r>
    </w:p>
    <w:p w14:paraId="604137CF" w14:textId="16EFD983" w:rsidR="00DA0E3B" w:rsidRPr="004B5B1D" w:rsidRDefault="00451B4A"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 xml:space="preserve">The RPD’s reasoning for why it preferred Mr. Alves Barbosa’s evidence over Ms. Barbosa Reis’ evidence was based on an </w:t>
      </w:r>
      <w:r w:rsidR="00E912A0" w:rsidRPr="004B5B1D">
        <w:rPr>
          <w:rFonts w:ascii="Times New Roman" w:hAnsi="Times New Roman" w:cs="Times New Roman"/>
        </w:rPr>
        <w:t>incorrect finding</w:t>
      </w:r>
      <w:r w:rsidRPr="004B5B1D">
        <w:rPr>
          <w:rFonts w:ascii="Times New Roman" w:hAnsi="Times New Roman" w:cs="Times New Roman"/>
        </w:rPr>
        <w:t>. The RPD board member in his reasons stated that he gave significant weight to the documents submitted by Mr. Alves Barbosa</w:t>
      </w:r>
      <w:r w:rsidR="001B15CE" w:rsidRPr="004B5B1D">
        <w:rPr>
          <w:rFonts w:ascii="Times New Roman" w:hAnsi="Times New Roman" w:cs="Times New Roman"/>
        </w:rPr>
        <w:t>. This is</w:t>
      </w:r>
      <w:r w:rsidRPr="004B5B1D">
        <w:rPr>
          <w:rFonts w:ascii="Times New Roman" w:hAnsi="Times New Roman" w:cs="Times New Roman"/>
        </w:rPr>
        <w:t xml:space="preserve"> because a positive credibility determination was made at his RPD hearing and his affidavits from his family </w:t>
      </w:r>
      <w:r w:rsidRPr="004B5B1D">
        <w:rPr>
          <w:rFonts w:ascii="Times New Roman" w:hAnsi="Times New Roman" w:cs="Times New Roman"/>
        </w:rPr>
        <w:lastRenderedPageBreak/>
        <w:t>law proceedings were tested. In fact, at Mr. Alves Barbosa’s hearing, there was no credibility finding, positive or negative.</w:t>
      </w:r>
      <w:r w:rsidRPr="004B5B1D">
        <w:rPr>
          <w:rStyle w:val="FootnoteReference"/>
          <w:rFonts w:ascii="Times New Roman" w:hAnsi="Times New Roman" w:cs="Times New Roman"/>
        </w:rPr>
        <w:footnoteReference w:id="38"/>
      </w:r>
      <w:r w:rsidRPr="004B5B1D">
        <w:rPr>
          <w:rFonts w:ascii="Times New Roman" w:hAnsi="Times New Roman" w:cs="Times New Roman"/>
        </w:rPr>
        <w:t xml:space="preserve"> Mr. Alves Barbosa’s refugee claim was denied solely on state protection. It was factually incorrect for the RPD board member to assume positive credibility in the absence of any such decision.</w:t>
      </w:r>
    </w:p>
    <w:p w14:paraId="540984A1" w14:textId="26E742DC" w:rsidR="00DA0E3B" w:rsidRPr="004B5B1D" w:rsidRDefault="00451B4A"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The RPD board member</w:t>
      </w:r>
      <w:r w:rsidR="00AA6F2C" w:rsidRPr="004B5B1D">
        <w:rPr>
          <w:rFonts w:ascii="Times New Roman" w:hAnsi="Times New Roman" w:cs="Times New Roman"/>
        </w:rPr>
        <w:t xml:space="preserve"> erred in concluding that </w:t>
      </w:r>
      <w:r w:rsidRPr="004B5B1D">
        <w:rPr>
          <w:rFonts w:ascii="Times New Roman" w:hAnsi="Times New Roman" w:cs="Times New Roman"/>
        </w:rPr>
        <w:t xml:space="preserve">testing evidence, the last element written in the </w:t>
      </w:r>
      <w:r w:rsidR="00C57629" w:rsidRPr="00C57629">
        <w:rPr>
          <w:rFonts w:ascii="Times New Roman" w:hAnsi="Times New Roman" w:cs="Times New Roman"/>
          <w:i/>
          <w:iCs/>
        </w:rPr>
        <w:t xml:space="preserve">Unsolicited Information </w:t>
      </w:r>
      <w:r w:rsidRPr="00C57629">
        <w:rPr>
          <w:rFonts w:ascii="Times New Roman" w:hAnsi="Times New Roman" w:cs="Times New Roman"/>
          <w:i/>
          <w:iCs/>
        </w:rPr>
        <w:t>Policy</w:t>
      </w:r>
      <w:r w:rsidR="000744FA" w:rsidRPr="004B5B1D">
        <w:rPr>
          <w:rFonts w:ascii="Times New Roman" w:hAnsi="Times New Roman" w:cs="Times New Roman"/>
          <w:i/>
          <w:iCs/>
        </w:rPr>
        <w:t>,</w:t>
      </w:r>
      <w:r w:rsidRPr="004B5B1D">
        <w:rPr>
          <w:rFonts w:ascii="Times New Roman" w:hAnsi="Times New Roman" w:cs="Times New Roman"/>
          <w:i/>
          <w:iCs/>
        </w:rPr>
        <w:t xml:space="preserve"> </w:t>
      </w:r>
      <w:r w:rsidRPr="004B5B1D">
        <w:rPr>
          <w:rFonts w:ascii="Times New Roman" w:hAnsi="Times New Roman" w:cs="Times New Roman"/>
        </w:rPr>
        <w:t>was optional rather than mandatory.</w:t>
      </w:r>
      <w:r w:rsidRPr="004B5B1D">
        <w:rPr>
          <w:rStyle w:val="FootnoteReference"/>
          <w:rFonts w:ascii="Times New Roman" w:hAnsi="Times New Roman" w:cs="Times New Roman"/>
          <w:i/>
          <w:iCs/>
        </w:rPr>
        <w:footnoteReference w:id="39"/>
      </w:r>
      <w:r w:rsidRPr="004B5B1D">
        <w:rPr>
          <w:rFonts w:ascii="Times New Roman" w:hAnsi="Times New Roman" w:cs="Times New Roman"/>
        </w:rPr>
        <w:t xml:space="preserve"> Ms. Barbosa Reis raised an objection and questioned how the Unsolicited Information from the agent of persecution would be tested. However, the RPD board member did not consider or explain in his reasons how it would be tested to meet the credibility threshold. As affirmed by Justice Okoro of the Federal Court, the RPD failed “to provide responsive reasons that meaningfully account for the central issues and concerns raised by the parties in order to demonstrate that it actually listened to them</w:t>
      </w:r>
      <w:r w:rsidR="002A01DE" w:rsidRPr="004B5B1D">
        <w:rPr>
          <w:rFonts w:ascii="Times New Roman" w:hAnsi="Times New Roman" w:cs="Times New Roman"/>
        </w:rPr>
        <w:t>”</w:t>
      </w:r>
      <w:r w:rsidRPr="004B5B1D">
        <w:rPr>
          <w:rFonts w:ascii="Times New Roman" w:hAnsi="Times New Roman" w:cs="Times New Roman"/>
        </w:rPr>
        <w:t>.</w:t>
      </w:r>
      <w:r w:rsidRPr="004B5B1D">
        <w:rPr>
          <w:rStyle w:val="FootnoteReference"/>
          <w:rFonts w:ascii="Times New Roman" w:hAnsi="Times New Roman" w:cs="Times New Roman"/>
        </w:rPr>
        <w:footnoteReference w:id="40"/>
      </w:r>
      <w:r w:rsidRPr="004B5B1D">
        <w:rPr>
          <w:rFonts w:ascii="Times New Roman" w:hAnsi="Times New Roman" w:cs="Times New Roman"/>
        </w:rPr>
        <w:t xml:space="preserve"> </w:t>
      </w:r>
      <w:r w:rsidR="0030264F" w:rsidRPr="004B5B1D">
        <w:rPr>
          <w:rFonts w:ascii="Times New Roman" w:hAnsi="Times New Roman" w:cs="Times New Roman"/>
        </w:rPr>
        <w:t xml:space="preserve">Similarly, the RPD </w:t>
      </w:r>
      <w:r w:rsidR="001B15CE" w:rsidRPr="004B5B1D">
        <w:rPr>
          <w:rFonts w:ascii="Times New Roman" w:hAnsi="Times New Roman" w:cs="Times New Roman"/>
        </w:rPr>
        <w:t xml:space="preserve">board member </w:t>
      </w:r>
      <w:r w:rsidR="0030264F" w:rsidRPr="004B5B1D">
        <w:rPr>
          <w:rFonts w:ascii="Times New Roman" w:hAnsi="Times New Roman" w:cs="Times New Roman"/>
        </w:rPr>
        <w:t xml:space="preserve">did not explain how the husband’s </w:t>
      </w:r>
      <w:r w:rsidRPr="004B5B1D">
        <w:rPr>
          <w:rFonts w:ascii="Times New Roman" w:hAnsi="Times New Roman" w:cs="Times New Roman"/>
        </w:rPr>
        <w:t xml:space="preserve">family law affidavits </w:t>
      </w:r>
      <w:r w:rsidR="0030264F" w:rsidRPr="004B5B1D">
        <w:rPr>
          <w:rFonts w:ascii="Times New Roman" w:hAnsi="Times New Roman" w:cs="Times New Roman"/>
        </w:rPr>
        <w:t xml:space="preserve">would be tested. </w:t>
      </w:r>
    </w:p>
    <w:p w14:paraId="3CB64703" w14:textId="3C35F159" w:rsidR="00DA0E3B" w:rsidRPr="004B5B1D" w:rsidRDefault="00451B4A"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 xml:space="preserve">The RPD </w:t>
      </w:r>
      <w:r w:rsidR="001B15CE" w:rsidRPr="004B5B1D">
        <w:rPr>
          <w:rFonts w:ascii="Times New Roman" w:hAnsi="Times New Roman" w:cs="Times New Roman"/>
        </w:rPr>
        <w:t xml:space="preserve">board member </w:t>
      </w:r>
      <w:r w:rsidRPr="004B5B1D">
        <w:rPr>
          <w:rFonts w:ascii="Times New Roman" w:hAnsi="Times New Roman" w:cs="Times New Roman"/>
        </w:rPr>
        <w:t xml:space="preserve">also failed to explain why the content in the untested letters from Mr. Alves Barbosa’s family and friends were a more “believable version of events”. Mr. Alves Barbosa’s Unsolicited Information lacks the specificity of Ms. Barbosa Reis’ evidence, which includes letters and accompanying identity cards from her neighbors. A letter from Mr. Henry Robinson is especially persuasive </w:t>
      </w:r>
      <w:r w:rsidR="001B15CE" w:rsidRPr="004B5B1D">
        <w:rPr>
          <w:rFonts w:ascii="Times New Roman" w:hAnsi="Times New Roman" w:cs="Times New Roman"/>
        </w:rPr>
        <w:t>because he</w:t>
      </w:r>
      <w:r w:rsidRPr="004B5B1D">
        <w:rPr>
          <w:rFonts w:ascii="Times New Roman" w:hAnsi="Times New Roman" w:cs="Times New Roman"/>
        </w:rPr>
        <w:t xml:space="preserve"> directly witnessed an incident of abuse. In his letter, Mr. Robinson stated that he observed Mr. Barbosa </w:t>
      </w:r>
      <w:r w:rsidR="00677D1C" w:rsidRPr="004B5B1D">
        <w:rPr>
          <w:rFonts w:ascii="Times New Roman" w:hAnsi="Times New Roman" w:cs="Times New Roman"/>
        </w:rPr>
        <w:t>“</w:t>
      </w:r>
      <w:r w:rsidR="00C4392E" w:rsidRPr="004B5B1D">
        <w:rPr>
          <w:rFonts w:ascii="Times New Roman" w:hAnsi="Times New Roman" w:cs="Times New Roman"/>
        </w:rPr>
        <w:t>[slap] the eldest minor claimant on his face when the child was crying</w:t>
      </w:r>
      <w:r w:rsidR="00677D1C" w:rsidRPr="004B5B1D">
        <w:rPr>
          <w:rFonts w:ascii="Times New Roman" w:hAnsi="Times New Roman" w:cs="Times New Roman"/>
        </w:rPr>
        <w:t>”</w:t>
      </w:r>
      <w:r w:rsidRPr="004B5B1D">
        <w:rPr>
          <w:rFonts w:ascii="Times New Roman" w:hAnsi="Times New Roman" w:cs="Times New Roman"/>
        </w:rPr>
        <w:t>.</w:t>
      </w:r>
      <w:r w:rsidR="00677D1C" w:rsidRPr="004B5B1D">
        <w:rPr>
          <w:rStyle w:val="FootnoteReference"/>
          <w:rFonts w:ascii="Times New Roman" w:hAnsi="Times New Roman" w:cs="Times New Roman"/>
        </w:rPr>
        <w:footnoteReference w:id="41"/>
      </w:r>
      <w:r w:rsidRPr="004B5B1D">
        <w:rPr>
          <w:rFonts w:ascii="Times New Roman" w:hAnsi="Times New Roman" w:cs="Times New Roman"/>
        </w:rPr>
        <w:t xml:space="preserve"> This is an example of a specific instance of violence, yet the RPD </w:t>
      </w:r>
      <w:r w:rsidR="008F1C97" w:rsidRPr="004B5B1D">
        <w:rPr>
          <w:rFonts w:ascii="Times New Roman" w:hAnsi="Times New Roman" w:cs="Times New Roman"/>
        </w:rPr>
        <w:lastRenderedPageBreak/>
        <w:t>found</w:t>
      </w:r>
      <w:r w:rsidRPr="004B5B1D">
        <w:rPr>
          <w:rFonts w:ascii="Times New Roman" w:hAnsi="Times New Roman" w:cs="Times New Roman"/>
        </w:rPr>
        <w:t xml:space="preserve"> it was not enough to overcome the content submitted by Mr. Alves Barbosa. The </w:t>
      </w:r>
      <w:r w:rsidR="001B15CE" w:rsidRPr="004B5B1D">
        <w:rPr>
          <w:rFonts w:ascii="Times New Roman" w:hAnsi="Times New Roman" w:cs="Times New Roman"/>
        </w:rPr>
        <w:t>RPD board member</w:t>
      </w:r>
      <w:r w:rsidRPr="004B5B1D">
        <w:rPr>
          <w:rFonts w:ascii="Times New Roman" w:hAnsi="Times New Roman" w:cs="Times New Roman"/>
        </w:rPr>
        <w:t xml:space="preserve"> should have</w:t>
      </w:r>
      <w:r w:rsidR="00022060" w:rsidRPr="004B5B1D">
        <w:rPr>
          <w:rFonts w:ascii="Times New Roman" w:hAnsi="Times New Roman" w:cs="Times New Roman"/>
        </w:rPr>
        <w:t xml:space="preserve"> provided reasons why the letters from Ms. Barbosa Reis were inadequate. Mr. Robinson’s letter </w:t>
      </w:r>
      <w:r w:rsidR="00F15E39" w:rsidRPr="004B5B1D">
        <w:rPr>
          <w:rFonts w:ascii="Times New Roman" w:hAnsi="Times New Roman" w:cs="Times New Roman"/>
        </w:rPr>
        <w:t>is</w:t>
      </w:r>
      <w:r w:rsidR="00022060" w:rsidRPr="004B5B1D">
        <w:rPr>
          <w:rFonts w:ascii="Times New Roman" w:hAnsi="Times New Roman" w:cs="Times New Roman"/>
        </w:rPr>
        <w:t xml:space="preserve"> </w:t>
      </w:r>
      <w:r w:rsidRPr="004B5B1D">
        <w:rPr>
          <w:rFonts w:ascii="Times New Roman" w:hAnsi="Times New Roman" w:cs="Times New Roman"/>
        </w:rPr>
        <w:t xml:space="preserve">a corroborating piece of evidence which </w:t>
      </w:r>
      <w:r w:rsidR="001B15CE" w:rsidRPr="004B5B1D">
        <w:rPr>
          <w:rFonts w:ascii="Times New Roman" w:hAnsi="Times New Roman" w:cs="Times New Roman"/>
        </w:rPr>
        <w:t>is</w:t>
      </w:r>
      <w:r w:rsidRPr="004B5B1D">
        <w:rPr>
          <w:rFonts w:ascii="Times New Roman" w:hAnsi="Times New Roman" w:cs="Times New Roman"/>
        </w:rPr>
        <w:t xml:space="preserve"> impartial and confirm</w:t>
      </w:r>
      <w:r w:rsidR="001B15CE" w:rsidRPr="004B5B1D">
        <w:rPr>
          <w:rFonts w:ascii="Times New Roman" w:hAnsi="Times New Roman" w:cs="Times New Roman"/>
        </w:rPr>
        <w:t>s</w:t>
      </w:r>
      <w:r w:rsidRPr="004B5B1D">
        <w:rPr>
          <w:rFonts w:ascii="Times New Roman" w:hAnsi="Times New Roman" w:cs="Times New Roman"/>
        </w:rPr>
        <w:t xml:space="preserve"> that Mr. Alves Barbosa abused his children</w:t>
      </w:r>
      <w:r w:rsidR="008452D6" w:rsidRPr="004B5B1D">
        <w:rPr>
          <w:rFonts w:ascii="Times New Roman" w:hAnsi="Times New Roman" w:cs="Times New Roman"/>
        </w:rPr>
        <w:t xml:space="preserve">. </w:t>
      </w:r>
    </w:p>
    <w:p w14:paraId="1F2607B6" w14:textId="644F264C" w:rsidR="001454CE" w:rsidRPr="004B5B1D" w:rsidRDefault="00451B4A"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Without drawing direct comparisons between Mr. Alves Barbosa’s Unsolicited Information and Transcript evidence and Ms. Barbosa Reis’ cross-examined testimony and tested submissions, the RPD failed to provide adequate justification for Ms. Barbosa Reis’ negative credibility finding. This error resulted in the failure of the Respondent’s refugee protection claim. </w:t>
      </w:r>
    </w:p>
    <w:p w14:paraId="6F5032F9" w14:textId="51419195" w:rsidR="002E3DEF" w:rsidRPr="004B5B1D" w:rsidRDefault="002E3DEF" w:rsidP="00251A57">
      <w:pPr>
        <w:pStyle w:val="ListParagraph"/>
        <w:spacing w:before="100" w:beforeAutospacing="1" w:after="100" w:afterAutospacing="1" w:line="480" w:lineRule="auto"/>
        <w:ind w:left="360"/>
        <w:jc w:val="both"/>
        <w:rPr>
          <w:rFonts w:ascii="Times New Roman" w:hAnsi="Times New Roman" w:cs="Times New Roman"/>
        </w:rPr>
      </w:pPr>
      <w:r w:rsidRPr="004B5B1D">
        <w:rPr>
          <w:rFonts w:ascii="Times New Roman" w:hAnsi="Times New Roman" w:cs="Times New Roman"/>
          <w:b/>
          <w:bCs/>
        </w:rPr>
        <w:t xml:space="preserve">B) The RPD Misapplied the </w:t>
      </w:r>
      <w:r w:rsidRPr="004B5B1D">
        <w:rPr>
          <w:rFonts w:ascii="Times New Roman" w:hAnsi="Times New Roman" w:cs="Times New Roman"/>
          <w:b/>
          <w:bCs/>
          <w:i/>
          <w:iCs/>
        </w:rPr>
        <w:t>Chair</w:t>
      </w:r>
      <w:r w:rsidR="001B15CE" w:rsidRPr="004B5B1D">
        <w:rPr>
          <w:rFonts w:ascii="Times New Roman" w:hAnsi="Times New Roman" w:cs="Times New Roman"/>
          <w:b/>
          <w:bCs/>
          <w:i/>
          <w:iCs/>
        </w:rPr>
        <w:t>person</w:t>
      </w:r>
      <w:r w:rsidRPr="004B5B1D">
        <w:rPr>
          <w:rFonts w:ascii="Times New Roman" w:hAnsi="Times New Roman" w:cs="Times New Roman"/>
          <w:b/>
          <w:bCs/>
          <w:i/>
          <w:iCs/>
        </w:rPr>
        <w:t xml:space="preserve">’s Gender Guidelines </w:t>
      </w:r>
      <w:r w:rsidRPr="004B5B1D">
        <w:rPr>
          <w:rFonts w:ascii="Times New Roman" w:hAnsi="Times New Roman" w:cs="Times New Roman"/>
        </w:rPr>
        <w:t xml:space="preserve"> </w:t>
      </w:r>
    </w:p>
    <w:p w14:paraId="2377C2A3" w14:textId="024A6016" w:rsidR="002E3DEF" w:rsidRPr="004B5B1D" w:rsidRDefault="002E3DEF" w:rsidP="00251A57">
      <w:pPr>
        <w:pStyle w:val="ListParagraph"/>
        <w:numPr>
          <w:ilvl w:val="0"/>
          <w:numId w:val="3"/>
        </w:numPr>
        <w:spacing w:before="100" w:beforeAutospacing="1" w:after="100" w:afterAutospacing="1" w:line="480" w:lineRule="auto"/>
        <w:ind w:left="0" w:firstLine="0"/>
        <w:jc w:val="both"/>
        <w:rPr>
          <w:rFonts w:ascii="Times New Roman" w:eastAsia="Times New Roman" w:hAnsi="Times New Roman" w:cs="Times New Roman"/>
        </w:rPr>
      </w:pPr>
      <w:r w:rsidRPr="004B5B1D">
        <w:rPr>
          <w:rFonts w:ascii="Times New Roman" w:hAnsi="Times New Roman" w:cs="Times New Roman"/>
        </w:rPr>
        <w:t xml:space="preserve">In </w:t>
      </w:r>
      <w:r w:rsidRPr="004B5B1D">
        <w:rPr>
          <w:rFonts w:ascii="Times New Roman" w:hAnsi="Times New Roman" w:cs="Times New Roman"/>
          <w:i/>
          <w:iCs/>
        </w:rPr>
        <w:t xml:space="preserve">Olah, </w:t>
      </w:r>
      <w:r w:rsidRPr="004B5B1D">
        <w:rPr>
          <w:rFonts w:ascii="Times New Roman" w:hAnsi="Times New Roman" w:cs="Times New Roman"/>
        </w:rPr>
        <w:t xml:space="preserve">the Federal Court found that “...individuals’ experiences of the events that underlie their claims for protection can be shaped by cultural norms or backgrounds that are not shared by the decision-maker…these circumstances can jeopardize the integrity of the refugee determination process and call into question the soundness of its results. To address this, the Chairperson of the RPD has established, among resources, the </w:t>
      </w:r>
      <w:r w:rsidRPr="004B5B1D">
        <w:rPr>
          <w:rFonts w:ascii="Times New Roman" w:hAnsi="Times New Roman" w:cs="Times New Roman"/>
          <w:i/>
          <w:iCs/>
        </w:rPr>
        <w:t>Gender Guidelines</w:t>
      </w:r>
      <w:r w:rsidRPr="004B5B1D">
        <w:rPr>
          <w:rFonts w:ascii="Times New Roman" w:hAnsi="Times New Roman" w:cs="Times New Roman"/>
        </w:rPr>
        <w:t>”.</w:t>
      </w:r>
      <w:r w:rsidRPr="004B5B1D">
        <w:rPr>
          <w:rStyle w:val="FootnoteReference"/>
          <w:rFonts w:ascii="Times New Roman" w:hAnsi="Times New Roman" w:cs="Times New Roman"/>
        </w:rPr>
        <w:footnoteReference w:id="42"/>
      </w:r>
      <w:r w:rsidRPr="004B5B1D">
        <w:rPr>
          <w:rFonts w:ascii="Times New Roman" w:hAnsi="Times New Roman" w:cs="Times New Roman"/>
        </w:rPr>
        <w:t xml:space="preserve"> A failure to abide by the Gender Guidelines</w:t>
      </w:r>
      <w:r w:rsidRPr="004B5B1D">
        <w:rPr>
          <w:rFonts w:ascii="Times New Roman" w:hAnsi="Times New Roman" w:cs="Times New Roman"/>
          <w:i/>
          <w:iCs/>
        </w:rPr>
        <w:t xml:space="preserve"> </w:t>
      </w:r>
      <w:r w:rsidRPr="004B5B1D">
        <w:rPr>
          <w:rFonts w:ascii="Times New Roman" w:hAnsi="Times New Roman" w:cs="Times New Roman"/>
        </w:rPr>
        <w:t>can constitute a reviewable error.</w:t>
      </w:r>
      <w:r w:rsidRPr="004B5B1D">
        <w:rPr>
          <w:rStyle w:val="FootnoteReference"/>
          <w:rFonts w:ascii="Times New Roman" w:hAnsi="Times New Roman" w:cs="Times New Roman"/>
        </w:rPr>
        <w:footnoteReference w:id="43"/>
      </w:r>
      <w:r w:rsidRPr="004B5B1D">
        <w:rPr>
          <w:rFonts w:ascii="Times New Roman" w:hAnsi="Times New Roman" w:cs="Times New Roman"/>
        </w:rPr>
        <w:t xml:space="preserve"> </w:t>
      </w:r>
    </w:p>
    <w:p w14:paraId="2C165C8D" w14:textId="1E292C1A" w:rsidR="00D928D0" w:rsidRDefault="00FE0AD5" w:rsidP="00D928D0">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hAnsi="Times New Roman" w:cs="Times New Roman"/>
        </w:rPr>
        <w:t>A failure to abide by the Gender Guidelines</w:t>
      </w:r>
      <w:r w:rsidRPr="004B5B1D">
        <w:rPr>
          <w:rFonts w:ascii="Times New Roman" w:hAnsi="Times New Roman" w:cs="Times New Roman"/>
          <w:i/>
          <w:iCs/>
        </w:rPr>
        <w:t xml:space="preserve"> </w:t>
      </w:r>
      <w:r w:rsidRPr="004B5B1D">
        <w:rPr>
          <w:rFonts w:ascii="Times New Roman" w:hAnsi="Times New Roman" w:cs="Times New Roman"/>
        </w:rPr>
        <w:t xml:space="preserve">can constitute a reviewable error as </w:t>
      </w:r>
      <w:r w:rsidRPr="004B5B1D">
        <w:rPr>
          <w:rFonts w:ascii="Times New Roman" w:hAnsi="Times New Roman" w:cs="Times New Roman"/>
          <w:i/>
          <w:iCs/>
        </w:rPr>
        <w:t xml:space="preserve">Olah </w:t>
      </w:r>
      <w:r w:rsidRPr="004B5B1D">
        <w:rPr>
          <w:rFonts w:ascii="Times New Roman" w:hAnsi="Times New Roman" w:cs="Times New Roman"/>
        </w:rPr>
        <w:t>confirms.</w:t>
      </w:r>
      <w:r w:rsidRPr="004B5B1D">
        <w:rPr>
          <w:rStyle w:val="FootnoteReference"/>
          <w:rFonts w:ascii="Times New Roman" w:hAnsi="Times New Roman" w:cs="Times New Roman"/>
        </w:rPr>
        <w:footnoteReference w:id="44"/>
      </w:r>
      <w:r w:rsidRPr="004B5B1D">
        <w:rPr>
          <w:rFonts w:ascii="Times New Roman" w:hAnsi="Times New Roman" w:cs="Times New Roman"/>
        </w:rPr>
        <w:t xml:space="preserve"> </w:t>
      </w:r>
    </w:p>
    <w:p w14:paraId="2C8DAC3A" w14:textId="0377C355" w:rsidR="009E4FEE" w:rsidRDefault="009E4FEE" w:rsidP="009E4FEE">
      <w:pPr>
        <w:spacing w:before="100" w:beforeAutospacing="1" w:after="100" w:afterAutospacing="1" w:line="480" w:lineRule="auto"/>
        <w:jc w:val="both"/>
        <w:rPr>
          <w:rFonts w:ascii="Times New Roman" w:hAnsi="Times New Roman" w:cs="Times New Roman"/>
        </w:rPr>
      </w:pPr>
    </w:p>
    <w:p w14:paraId="248D4BDA" w14:textId="77777777" w:rsidR="009E4FEE" w:rsidRPr="009E4FEE" w:rsidRDefault="009E4FEE" w:rsidP="009E4FEE">
      <w:pPr>
        <w:spacing w:before="100" w:beforeAutospacing="1" w:after="100" w:afterAutospacing="1" w:line="480" w:lineRule="auto"/>
        <w:jc w:val="both"/>
        <w:rPr>
          <w:rFonts w:ascii="Times New Roman" w:hAnsi="Times New Roman" w:cs="Times New Roman"/>
        </w:rPr>
      </w:pPr>
    </w:p>
    <w:p w14:paraId="338CFD86" w14:textId="2C63E81E" w:rsidR="00FE0AD5" w:rsidRPr="004B5B1D" w:rsidRDefault="00FE0AD5" w:rsidP="00251A57">
      <w:pPr>
        <w:pStyle w:val="ListParagraph"/>
        <w:spacing w:before="100" w:beforeAutospacing="1" w:after="100" w:afterAutospacing="1" w:line="480" w:lineRule="auto"/>
        <w:ind w:left="0" w:firstLine="720"/>
        <w:jc w:val="both"/>
        <w:rPr>
          <w:rFonts w:ascii="Times New Roman" w:hAnsi="Times New Roman" w:cs="Times New Roman"/>
          <w:b/>
          <w:bCs/>
        </w:rPr>
      </w:pPr>
      <w:r w:rsidRPr="004B5B1D">
        <w:rPr>
          <w:rFonts w:ascii="Times New Roman" w:hAnsi="Times New Roman" w:cs="Times New Roman"/>
          <w:b/>
          <w:bCs/>
        </w:rPr>
        <w:lastRenderedPageBreak/>
        <w:t xml:space="preserve">i) </w:t>
      </w:r>
      <w:r w:rsidRPr="004B5B1D">
        <w:rPr>
          <w:rFonts w:ascii="Times New Roman" w:hAnsi="Times New Roman" w:cs="Times New Roman"/>
          <w:b/>
          <w:bCs/>
        </w:rPr>
        <w:tab/>
        <w:t>Failure to Consider the Psychiatric Report</w:t>
      </w:r>
    </w:p>
    <w:p w14:paraId="0C4875E5" w14:textId="77777777" w:rsidR="00186A32" w:rsidRPr="004B5B1D" w:rsidRDefault="00186A32"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hAnsi="Times New Roman" w:cs="Times New Roman"/>
        </w:rPr>
        <w:t xml:space="preserve">In </w:t>
      </w:r>
      <w:proofErr w:type="spellStart"/>
      <w:r w:rsidRPr="004B5B1D">
        <w:rPr>
          <w:rFonts w:ascii="Times New Roman" w:hAnsi="Times New Roman" w:cs="Times New Roman"/>
          <w:i/>
          <w:iCs/>
        </w:rPr>
        <w:t>Okpanchi</w:t>
      </w:r>
      <w:proofErr w:type="spellEnd"/>
      <w:r w:rsidRPr="004B5B1D">
        <w:rPr>
          <w:rFonts w:ascii="Times New Roman" w:hAnsi="Times New Roman" w:cs="Times New Roman"/>
          <w:i/>
          <w:iCs/>
        </w:rPr>
        <w:t xml:space="preserve"> v Canada, </w:t>
      </w:r>
      <w:r w:rsidRPr="004B5B1D">
        <w:rPr>
          <w:rFonts w:ascii="Times New Roman" w:hAnsi="Times New Roman" w:cs="Times New Roman"/>
        </w:rPr>
        <w:t xml:space="preserve">the court affirmed that “[t]he purpose of the Gender Guidelines is to ensure that any assessment of omissions and contradictions takes into account the factors set out in the Gender Guidelines.” </w:t>
      </w:r>
      <w:r w:rsidRPr="004B5B1D">
        <w:rPr>
          <w:rStyle w:val="FootnoteReference"/>
          <w:rFonts w:ascii="Times New Roman" w:hAnsi="Times New Roman" w:cs="Times New Roman"/>
        </w:rPr>
        <w:footnoteReference w:id="45"/>
      </w:r>
      <w:r w:rsidRPr="004B5B1D">
        <w:rPr>
          <w:rFonts w:ascii="Times New Roman" w:hAnsi="Times New Roman" w:cs="Times New Roman"/>
        </w:rPr>
        <w:t xml:space="preserve"> </w:t>
      </w:r>
    </w:p>
    <w:p w14:paraId="52DF97CD" w14:textId="0C0BE546" w:rsidR="00186A32" w:rsidRPr="004B5B1D" w:rsidRDefault="00186A32"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hAnsi="Times New Roman" w:cs="Times New Roman"/>
        </w:rPr>
        <w:t>Omissions and contradictions in a claimant’s evidence affect their credibility assessment in an RPD hearing. Section7.4</w:t>
      </w:r>
      <w:r w:rsidR="00E90299" w:rsidRPr="004B5B1D">
        <w:rPr>
          <w:rFonts w:ascii="Times New Roman" w:hAnsi="Times New Roman" w:cs="Times New Roman"/>
        </w:rPr>
        <w:t xml:space="preserve"> </w:t>
      </w:r>
      <w:r w:rsidRPr="004B5B1D">
        <w:rPr>
          <w:rFonts w:ascii="Times New Roman" w:hAnsi="Times New Roman" w:cs="Times New Roman"/>
        </w:rPr>
        <w:t>of the Chairperson’s Guideline 4 provides that where a credibility concern arises from a person’s evidence or testimony, members should: </w:t>
      </w:r>
    </w:p>
    <w:p w14:paraId="2965DC00" w14:textId="5CE25C00" w:rsidR="00E90299" w:rsidRPr="004B5B1D" w:rsidRDefault="00CD0B7F" w:rsidP="00E90299">
      <w:pPr>
        <w:pStyle w:val="NormalWeb"/>
        <w:numPr>
          <w:ilvl w:val="0"/>
          <w:numId w:val="7"/>
        </w:numPr>
        <w:spacing w:before="0" w:beforeAutospacing="0" w:after="0" w:afterAutospacing="0" w:line="480" w:lineRule="auto"/>
        <w:jc w:val="both"/>
      </w:pPr>
      <w:r w:rsidRPr="004B5B1D">
        <w:t>“</w:t>
      </w:r>
      <w:r w:rsidR="00186A32" w:rsidRPr="004B5B1D">
        <w:t>consider the person’s response and whether trauma or its aftereffects may reasonably explain the perceived discrepancy;  </w:t>
      </w:r>
    </w:p>
    <w:p w14:paraId="3D28D8AD" w14:textId="2DAEAD33" w:rsidR="00186A32" w:rsidRPr="004B5B1D" w:rsidRDefault="00186A32" w:rsidP="00E90299">
      <w:pPr>
        <w:pStyle w:val="NormalWeb"/>
        <w:numPr>
          <w:ilvl w:val="0"/>
          <w:numId w:val="7"/>
        </w:numPr>
        <w:spacing w:before="0" w:beforeAutospacing="0" w:after="0" w:afterAutospacing="0" w:line="480" w:lineRule="auto"/>
        <w:jc w:val="both"/>
      </w:pPr>
      <w:r w:rsidRPr="004B5B1D">
        <w:t>evaluate the totality of the circumstances and the internal consistency of the evidence</w:t>
      </w:r>
      <w:r w:rsidR="00CD0B7F" w:rsidRPr="004B5B1D">
        <w:t>”</w:t>
      </w:r>
      <w:r w:rsidRPr="004B5B1D">
        <w:rPr>
          <w:rStyle w:val="FootnoteReference"/>
        </w:rPr>
        <w:footnoteReference w:id="46"/>
      </w:r>
    </w:p>
    <w:p w14:paraId="630D4102" w14:textId="53DAFFCD" w:rsidR="00186A32" w:rsidRPr="004B5B1D" w:rsidRDefault="00186A32"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hAnsi="Times New Roman" w:cs="Times New Roman"/>
        </w:rPr>
        <w:t xml:space="preserve">In </w:t>
      </w:r>
      <w:r w:rsidRPr="004B5B1D">
        <w:rPr>
          <w:rFonts w:ascii="Times New Roman" w:hAnsi="Times New Roman" w:cs="Times New Roman"/>
          <w:i/>
          <w:iCs/>
        </w:rPr>
        <w:t xml:space="preserve">Lozano Pulido v Canada, </w:t>
      </w:r>
      <w:r w:rsidRPr="004B5B1D">
        <w:rPr>
          <w:rFonts w:ascii="Times New Roman" w:hAnsi="Times New Roman" w:cs="Times New Roman"/>
        </w:rPr>
        <w:t>the Federal Court noted that “...while members of the Refugee Protection Division have expertise in the adjudication of refugee claims, they are not qualified psychiatrists, and bring no specialized expertise to the question of the mental condition of refugee claimants”.</w:t>
      </w:r>
      <w:r w:rsidR="00CD0B7F" w:rsidRPr="004B5B1D">
        <w:rPr>
          <w:rStyle w:val="FootnoteReference"/>
          <w:rFonts w:ascii="Times New Roman" w:hAnsi="Times New Roman" w:cs="Times New Roman"/>
          <w:i/>
          <w:iCs/>
        </w:rPr>
        <w:t xml:space="preserve"> </w:t>
      </w:r>
      <w:r w:rsidR="00CD0B7F" w:rsidRPr="004B5B1D">
        <w:rPr>
          <w:rStyle w:val="FootnoteReference"/>
          <w:rFonts w:ascii="Times New Roman" w:hAnsi="Times New Roman" w:cs="Times New Roman"/>
          <w:i/>
          <w:iCs/>
        </w:rPr>
        <w:footnoteReference w:id="47"/>
      </w:r>
      <w:r w:rsidR="00CD0B7F" w:rsidRPr="004B5B1D">
        <w:rPr>
          <w:rStyle w:val="FootnoteReference"/>
          <w:rFonts w:ascii="Times New Roman" w:hAnsi="Times New Roman" w:cs="Times New Roman"/>
          <w:i/>
          <w:iCs/>
        </w:rPr>
        <w:t xml:space="preserve"> </w:t>
      </w:r>
      <w:r w:rsidRPr="004B5B1D">
        <w:rPr>
          <w:rFonts w:ascii="Times New Roman" w:hAnsi="Times New Roman" w:cs="Times New Roman"/>
        </w:rPr>
        <w:t xml:space="preserve">In this case, the Federal Court found </w:t>
      </w:r>
      <w:r w:rsidR="005C46A2" w:rsidRPr="004B5B1D">
        <w:rPr>
          <w:rFonts w:ascii="Times New Roman" w:hAnsi="Times New Roman" w:cs="Times New Roman"/>
        </w:rPr>
        <w:t xml:space="preserve">that </w:t>
      </w:r>
      <w:r w:rsidRPr="004B5B1D">
        <w:rPr>
          <w:rFonts w:ascii="Times New Roman" w:hAnsi="Times New Roman" w:cs="Times New Roman"/>
        </w:rPr>
        <w:t>the RPD’s negative credibility finding against the Applicant, Mr. Lozano, was patently unreasonable in light of the medical evidence before the Board.</w:t>
      </w:r>
      <w:r w:rsidRPr="004B5B1D">
        <w:rPr>
          <w:rStyle w:val="FootnoteReference"/>
          <w:rFonts w:ascii="Times New Roman" w:hAnsi="Times New Roman" w:cs="Times New Roman"/>
        </w:rPr>
        <w:footnoteReference w:id="48"/>
      </w:r>
      <w:r w:rsidRPr="004B5B1D">
        <w:rPr>
          <w:rFonts w:ascii="Times New Roman" w:hAnsi="Times New Roman" w:cs="Times New Roman"/>
        </w:rPr>
        <w:t xml:space="preserve"> What the Federal Court found “even more troubling” was that in its reasons, </w:t>
      </w:r>
      <w:r w:rsidRPr="004B5B1D">
        <w:rPr>
          <w:rFonts w:ascii="Times New Roman" w:hAnsi="Times New Roman" w:cs="Times New Roman"/>
        </w:rPr>
        <w:lastRenderedPageBreak/>
        <w:t>the RPD accepted the clinical diagnosis from the psychological reports, but did not  accept that the Applicant’s condition resulted from his fear of persecution.</w:t>
      </w:r>
      <w:r w:rsidR="00CD0B7F" w:rsidRPr="004B5B1D">
        <w:rPr>
          <w:rStyle w:val="FootnoteReference"/>
          <w:rFonts w:ascii="Times New Roman" w:hAnsi="Times New Roman" w:cs="Times New Roman"/>
        </w:rPr>
        <w:footnoteReference w:id="49"/>
      </w:r>
    </w:p>
    <w:p w14:paraId="0E83D39B" w14:textId="1ED5A054" w:rsidR="00186A32" w:rsidRPr="004B5B1D" w:rsidRDefault="00186A32"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hAnsi="Times New Roman" w:cs="Times New Roman"/>
        </w:rPr>
        <w:t xml:space="preserve"> </w:t>
      </w:r>
      <w:r w:rsidR="00CC1F83" w:rsidRPr="004B5B1D">
        <w:rPr>
          <w:rFonts w:ascii="Times New Roman" w:hAnsi="Times New Roman" w:cs="Times New Roman"/>
        </w:rPr>
        <w:t xml:space="preserve">In </w:t>
      </w:r>
      <w:r w:rsidRPr="004B5B1D">
        <w:rPr>
          <w:rFonts w:ascii="Times New Roman" w:hAnsi="Times New Roman" w:cs="Times New Roman"/>
          <w:i/>
          <w:iCs/>
        </w:rPr>
        <w:t>RKL v Canada</w:t>
      </w:r>
      <w:r w:rsidRPr="004B5B1D">
        <w:rPr>
          <w:rFonts w:ascii="Times New Roman" w:hAnsi="Times New Roman" w:cs="Times New Roman"/>
        </w:rPr>
        <w:t xml:space="preserve"> </w:t>
      </w:r>
      <w:r w:rsidRPr="004B5B1D">
        <w:rPr>
          <w:rFonts w:ascii="Times New Roman" w:hAnsi="Times New Roman" w:cs="Times New Roman"/>
          <w:i/>
          <w:iCs/>
        </w:rPr>
        <w:t>(Minister of Citizenship and Immigration</w:t>
      </w:r>
      <w:r w:rsidRPr="004B5B1D">
        <w:rPr>
          <w:rFonts w:ascii="Times New Roman" w:hAnsi="Times New Roman" w:cs="Times New Roman"/>
        </w:rPr>
        <w:t>) the court quashed the Board’s adverse credibility finding against the applicant.</w:t>
      </w:r>
      <w:r w:rsidR="00CD0B7F" w:rsidRPr="004B5B1D">
        <w:rPr>
          <w:rStyle w:val="FootnoteReference"/>
          <w:rFonts w:ascii="Times New Roman" w:hAnsi="Times New Roman" w:cs="Times New Roman"/>
          <w:i/>
          <w:iCs/>
        </w:rPr>
        <w:footnoteReference w:id="50"/>
      </w:r>
      <w:r w:rsidRPr="004B5B1D">
        <w:rPr>
          <w:rFonts w:ascii="Times New Roman" w:hAnsi="Times New Roman" w:cs="Times New Roman"/>
        </w:rPr>
        <w:t xml:space="preserve"> The court found the applicant’s vague answers to questions can be explained by a limited education as well as a psychological condition, </w:t>
      </w:r>
      <w:r w:rsidR="00E90299" w:rsidRPr="004B5B1D">
        <w:rPr>
          <w:rFonts w:ascii="Times New Roman" w:hAnsi="Times New Roman" w:cs="Times New Roman"/>
        </w:rPr>
        <w:t>PTSD</w:t>
      </w:r>
      <w:r w:rsidRPr="004B5B1D">
        <w:rPr>
          <w:rFonts w:ascii="Times New Roman" w:hAnsi="Times New Roman" w:cs="Times New Roman"/>
        </w:rPr>
        <w:t>. The court determined that "a lack of coherency or consistency in the claimant's testimony would be viewed in light of the claimant's psychological condition, especially where it has been medically documented."</w:t>
      </w:r>
      <w:r w:rsidRPr="004B5B1D">
        <w:rPr>
          <w:rStyle w:val="FootnoteReference"/>
          <w:rFonts w:ascii="Times New Roman" w:hAnsi="Times New Roman" w:cs="Times New Roman"/>
        </w:rPr>
        <w:footnoteReference w:id="51"/>
      </w:r>
      <w:r w:rsidRPr="004B5B1D">
        <w:rPr>
          <w:rFonts w:ascii="Times New Roman" w:hAnsi="Times New Roman" w:cs="Times New Roman"/>
        </w:rPr>
        <w:t xml:space="preserve"> </w:t>
      </w:r>
    </w:p>
    <w:p w14:paraId="725987AB" w14:textId="0DFAE3FE" w:rsidR="00186A32" w:rsidRPr="004B5B1D" w:rsidRDefault="00186A32"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hAnsi="Times New Roman" w:cs="Times New Roman"/>
        </w:rPr>
        <w:t xml:space="preserve">The assessment of psychological reports as it pertains to credibility is further qualified in </w:t>
      </w:r>
      <w:r w:rsidRPr="004B5B1D">
        <w:rPr>
          <w:rFonts w:ascii="Times New Roman" w:hAnsi="Times New Roman" w:cs="Times New Roman"/>
          <w:i/>
          <w:iCs/>
        </w:rPr>
        <w:t>Krishnasamy v Canada</w:t>
      </w:r>
      <w:r w:rsidRPr="004B5B1D">
        <w:rPr>
          <w:rFonts w:ascii="Times New Roman" w:hAnsi="Times New Roman" w:cs="Times New Roman"/>
        </w:rPr>
        <w:t>, where the court found that once a tribunal considers the report and diagnosis, it does not err if it refuses the Applicant’s medical condition as a basis for the inconsistent evidence.</w:t>
      </w:r>
      <w:r w:rsidR="00CD0B7F" w:rsidRPr="004B5B1D">
        <w:rPr>
          <w:rStyle w:val="FootnoteReference"/>
          <w:rFonts w:ascii="Times New Roman" w:hAnsi="Times New Roman" w:cs="Times New Roman"/>
        </w:rPr>
        <w:footnoteReference w:id="52"/>
      </w:r>
      <w:r w:rsidRPr="004B5B1D">
        <w:rPr>
          <w:rFonts w:ascii="Times New Roman" w:hAnsi="Times New Roman" w:cs="Times New Roman"/>
        </w:rPr>
        <w:t xml:space="preserve"> This is permissible so long as the tribunal provides cogent reasons for its conclusion. </w:t>
      </w:r>
    </w:p>
    <w:p w14:paraId="6FB6AB52" w14:textId="011CD738" w:rsidR="00186A32" w:rsidRPr="004B5B1D" w:rsidRDefault="00186A32"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i/>
          <w:iCs/>
        </w:rPr>
      </w:pPr>
      <w:r w:rsidRPr="004B5B1D">
        <w:rPr>
          <w:rFonts w:ascii="Times New Roman" w:hAnsi="Times New Roman" w:cs="Times New Roman"/>
        </w:rPr>
        <w:t xml:space="preserve">In the present case, Ms. Barbosa Reis offered a psychiatric assessment as part of her personal documents package. This package was provided in response to the RPD’s admission of her husband’s Unsolicited Information and Transcript evidence. Ms. Barbosa Reis’ psychiatric report was from a psychiatrist, who diagnosed her with </w:t>
      </w:r>
      <w:r w:rsidR="00111A27" w:rsidRPr="004B5B1D">
        <w:rPr>
          <w:rFonts w:ascii="Times New Roman" w:hAnsi="Times New Roman" w:cs="Times New Roman"/>
        </w:rPr>
        <w:t>MDD</w:t>
      </w:r>
      <w:r w:rsidRPr="004B5B1D">
        <w:rPr>
          <w:rFonts w:ascii="Times New Roman" w:hAnsi="Times New Roman" w:cs="Times New Roman"/>
        </w:rPr>
        <w:t xml:space="preserve"> and PTSD. The psychiatric report was tendered to corroborate Ms. Barbosa Reis’s allegations of domestic violence and provide details of her psychological health. The report, therefore, is highly relevant to Ms. Barbosa Reis’s credibility assessment. </w:t>
      </w:r>
    </w:p>
    <w:p w14:paraId="4DD760E6" w14:textId="34F1619E" w:rsidR="00186A32" w:rsidRPr="004B5B1D" w:rsidRDefault="00186A32"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i/>
          <w:iCs/>
        </w:rPr>
      </w:pPr>
      <w:r w:rsidRPr="004B5B1D">
        <w:rPr>
          <w:rFonts w:ascii="Times New Roman" w:hAnsi="Times New Roman" w:cs="Times New Roman"/>
        </w:rPr>
        <w:lastRenderedPageBreak/>
        <w:t>The RPD member expressed cognizance “...of the difficulties faced by the principal claimant in establishing her claim, including the challenges of remembering difficult and emotionally charged events, and as a result addressed the claimant with heightened sensitivity.”</w:t>
      </w:r>
      <w:r w:rsidRPr="004B5B1D">
        <w:rPr>
          <w:rStyle w:val="FootnoteReference"/>
          <w:rFonts w:ascii="Times New Roman" w:hAnsi="Times New Roman" w:cs="Times New Roman"/>
        </w:rPr>
        <w:footnoteReference w:id="53"/>
      </w:r>
      <w:r w:rsidRPr="004B5B1D">
        <w:rPr>
          <w:rFonts w:ascii="Times New Roman" w:hAnsi="Times New Roman" w:cs="Times New Roman"/>
        </w:rPr>
        <w:t xml:space="preserve"> The RPD </w:t>
      </w:r>
      <w:r w:rsidR="00E90299" w:rsidRPr="004B5B1D">
        <w:rPr>
          <w:rFonts w:ascii="Times New Roman" w:hAnsi="Times New Roman" w:cs="Times New Roman"/>
        </w:rPr>
        <w:t xml:space="preserve">board </w:t>
      </w:r>
      <w:r w:rsidRPr="004B5B1D">
        <w:rPr>
          <w:rFonts w:ascii="Times New Roman" w:hAnsi="Times New Roman" w:cs="Times New Roman"/>
        </w:rPr>
        <w:t>member indicates that past domestic violence impacts a victim’s ability to testify as well as the credibility assessment. However, his decision demonstrates a failure to properly evaluate Ms. Barbosa Reis’ psychiatric report or adequately consider how the trauma from years of brutal abuse could have impacted her ability to bring her claim forward.</w:t>
      </w:r>
    </w:p>
    <w:p w14:paraId="4B9606AF" w14:textId="5D81D942" w:rsidR="0028409F" w:rsidRPr="004B5B1D" w:rsidRDefault="00186A32"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i/>
          <w:iCs/>
        </w:rPr>
      </w:pPr>
      <w:r w:rsidRPr="004B5B1D">
        <w:rPr>
          <w:rFonts w:ascii="Times New Roman" w:hAnsi="Times New Roman" w:cs="Times New Roman"/>
        </w:rPr>
        <w:t xml:space="preserve">The RPD </w:t>
      </w:r>
      <w:r w:rsidR="00E90299" w:rsidRPr="004B5B1D">
        <w:rPr>
          <w:rFonts w:ascii="Times New Roman" w:hAnsi="Times New Roman" w:cs="Times New Roman"/>
        </w:rPr>
        <w:t xml:space="preserve">board </w:t>
      </w:r>
      <w:r w:rsidRPr="004B5B1D">
        <w:rPr>
          <w:rFonts w:ascii="Times New Roman" w:hAnsi="Times New Roman" w:cs="Times New Roman"/>
        </w:rPr>
        <w:t xml:space="preserve">member cites </w:t>
      </w:r>
      <w:r w:rsidRPr="004B5B1D">
        <w:rPr>
          <w:rFonts w:ascii="Times New Roman" w:hAnsi="Times New Roman" w:cs="Times New Roman"/>
          <w:i/>
          <w:iCs/>
        </w:rPr>
        <w:t xml:space="preserve">Krishnasamy </w:t>
      </w:r>
      <w:r w:rsidRPr="004B5B1D">
        <w:rPr>
          <w:rFonts w:ascii="Times New Roman" w:hAnsi="Times New Roman" w:cs="Times New Roman"/>
        </w:rPr>
        <w:t xml:space="preserve">to support his position that the psychiatric report does not prove the incidents of abuse occurred. While it is true that a psychiatrist “cannot usurp the role of the RPD in making findings of fact”, </w:t>
      </w:r>
      <w:r w:rsidRPr="004B5B1D">
        <w:rPr>
          <w:rFonts w:ascii="Times New Roman" w:hAnsi="Times New Roman" w:cs="Times New Roman"/>
          <w:i/>
          <w:iCs/>
        </w:rPr>
        <w:t xml:space="preserve">Krishnasamy </w:t>
      </w:r>
      <w:r w:rsidRPr="004B5B1D">
        <w:rPr>
          <w:rFonts w:ascii="Times New Roman" w:hAnsi="Times New Roman" w:cs="Times New Roman"/>
        </w:rPr>
        <w:t>establishes that</w:t>
      </w:r>
      <w:r w:rsidRPr="004B5B1D">
        <w:rPr>
          <w:rFonts w:ascii="Times New Roman" w:hAnsi="Times New Roman" w:cs="Times New Roman"/>
          <w:i/>
          <w:iCs/>
        </w:rPr>
        <w:t xml:space="preserve"> </w:t>
      </w:r>
      <w:r w:rsidRPr="004B5B1D">
        <w:rPr>
          <w:rFonts w:ascii="Times New Roman" w:hAnsi="Times New Roman" w:cs="Times New Roman"/>
        </w:rPr>
        <w:t>the decision-maker can refuse to accept a party’s medical condition only if cogent reasons are provided for this conclusion.</w:t>
      </w:r>
      <w:r w:rsidR="0039293E" w:rsidRPr="004B5B1D">
        <w:rPr>
          <w:rStyle w:val="FootnoteReference"/>
          <w:rFonts w:ascii="Times New Roman" w:hAnsi="Times New Roman" w:cs="Times New Roman"/>
        </w:rPr>
        <w:footnoteReference w:id="54"/>
      </w:r>
      <w:r w:rsidRPr="004B5B1D">
        <w:rPr>
          <w:rFonts w:ascii="Times New Roman" w:hAnsi="Times New Roman" w:cs="Times New Roman"/>
        </w:rPr>
        <w:t xml:space="preserve"> The RPD </w:t>
      </w:r>
      <w:r w:rsidR="00E90299" w:rsidRPr="004B5B1D">
        <w:rPr>
          <w:rFonts w:ascii="Times New Roman" w:hAnsi="Times New Roman" w:cs="Times New Roman"/>
        </w:rPr>
        <w:t xml:space="preserve">board </w:t>
      </w:r>
      <w:r w:rsidRPr="004B5B1D">
        <w:rPr>
          <w:rFonts w:ascii="Times New Roman" w:hAnsi="Times New Roman" w:cs="Times New Roman"/>
        </w:rPr>
        <w:t xml:space="preserve">member’s decision did not consider the impact of Ms. Barbosa Reis’ trauma on her ability to explain her narrative. He does not assess Ms. Barbosa Reis’ psychiatric report but instead dismisses a critical piece of evidence in a single sentence. This is </w:t>
      </w:r>
      <w:r w:rsidR="00E90299" w:rsidRPr="004B5B1D">
        <w:rPr>
          <w:rFonts w:ascii="Times New Roman" w:hAnsi="Times New Roman" w:cs="Times New Roman"/>
        </w:rPr>
        <w:t xml:space="preserve">an </w:t>
      </w:r>
      <w:r w:rsidRPr="004B5B1D">
        <w:rPr>
          <w:rFonts w:ascii="Times New Roman" w:hAnsi="Times New Roman" w:cs="Times New Roman"/>
        </w:rPr>
        <w:t>improper application of important sections of the Gender Guidelines and their purpose.</w:t>
      </w:r>
    </w:p>
    <w:p w14:paraId="4AC83587" w14:textId="55DDEC1E" w:rsidR="0028409F" w:rsidRPr="004B5B1D" w:rsidRDefault="00EC019C" w:rsidP="00251A57">
      <w:pPr>
        <w:pStyle w:val="ListParagraph"/>
        <w:spacing w:before="100" w:beforeAutospacing="1" w:after="100" w:afterAutospacing="1" w:line="480" w:lineRule="auto"/>
        <w:jc w:val="both"/>
        <w:rPr>
          <w:rFonts w:ascii="Times New Roman" w:hAnsi="Times New Roman" w:cs="Times New Roman"/>
          <w:b/>
          <w:bCs/>
          <w:i/>
          <w:iCs/>
        </w:rPr>
      </w:pPr>
      <w:r w:rsidRPr="004B5B1D">
        <w:rPr>
          <w:rFonts w:ascii="Times New Roman" w:hAnsi="Times New Roman" w:cs="Times New Roman"/>
          <w:b/>
          <w:bCs/>
        </w:rPr>
        <w:t xml:space="preserve">ii) </w:t>
      </w:r>
      <w:r w:rsidRPr="004B5B1D">
        <w:rPr>
          <w:rFonts w:ascii="Times New Roman" w:hAnsi="Times New Roman" w:cs="Times New Roman"/>
          <w:b/>
          <w:bCs/>
          <w:i/>
          <w:iCs/>
        </w:rPr>
        <w:t xml:space="preserve"> </w:t>
      </w:r>
      <w:r w:rsidRPr="004B5B1D">
        <w:rPr>
          <w:rFonts w:ascii="Times New Roman" w:hAnsi="Times New Roman" w:cs="Times New Roman"/>
          <w:b/>
          <w:bCs/>
        </w:rPr>
        <w:t xml:space="preserve">The Respondent’s </w:t>
      </w:r>
      <w:r w:rsidR="0028409F" w:rsidRPr="004B5B1D">
        <w:rPr>
          <w:rFonts w:ascii="Times New Roman" w:hAnsi="Times New Roman" w:cs="Times New Roman"/>
          <w:b/>
          <w:bCs/>
        </w:rPr>
        <w:t>omission</w:t>
      </w:r>
      <w:r w:rsidRPr="004B5B1D">
        <w:rPr>
          <w:rFonts w:ascii="Times New Roman" w:hAnsi="Times New Roman" w:cs="Times New Roman"/>
          <w:b/>
          <w:bCs/>
        </w:rPr>
        <w:t>s</w:t>
      </w:r>
      <w:r w:rsidR="0028409F" w:rsidRPr="004B5B1D">
        <w:rPr>
          <w:rFonts w:ascii="Times New Roman" w:hAnsi="Times New Roman" w:cs="Times New Roman"/>
          <w:b/>
          <w:bCs/>
        </w:rPr>
        <w:t xml:space="preserve"> </w:t>
      </w:r>
      <w:r w:rsidR="006A6DDE" w:rsidRPr="004B5B1D">
        <w:rPr>
          <w:rFonts w:ascii="Times New Roman" w:hAnsi="Times New Roman" w:cs="Times New Roman"/>
          <w:b/>
          <w:bCs/>
        </w:rPr>
        <w:t>are</w:t>
      </w:r>
      <w:r w:rsidR="0028409F" w:rsidRPr="004B5B1D">
        <w:rPr>
          <w:rFonts w:ascii="Times New Roman" w:hAnsi="Times New Roman" w:cs="Times New Roman"/>
          <w:b/>
          <w:bCs/>
        </w:rPr>
        <w:t xml:space="preserve"> not a material inconsistency that warrants a negative credibility finding.</w:t>
      </w:r>
      <w:r w:rsidR="0028409F" w:rsidRPr="004B5B1D">
        <w:rPr>
          <w:rFonts w:ascii="Times New Roman" w:hAnsi="Times New Roman" w:cs="Times New Roman"/>
          <w:b/>
          <w:bCs/>
          <w:i/>
          <w:iCs/>
        </w:rPr>
        <w:t xml:space="preserve"> </w:t>
      </w:r>
    </w:p>
    <w:p w14:paraId="7EB64BA9" w14:textId="32CF397F" w:rsidR="00451B4A" w:rsidRPr="004B5B1D" w:rsidRDefault="00CC140A" w:rsidP="00346B3E">
      <w:pPr>
        <w:pStyle w:val="ListParagraph"/>
        <w:numPr>
          <w:ilvl w:val="0"/>
          <w:numId w:val="3"/>
        </w:numPr>
        <w:spacing w:line="480" w:lineRule="auto"/>
        <w:ind w:left="0" w:firstLine="0"/>
        <w:jc w:val="both"/>
        <w:rPr>
          <w:rFonts w:ascii="Times New Roman" w:hAnsi="Times New Roman" w:cs="Times New Roman"/>
          <w:i/>
          <w:iCs/>
        </w:rPr>
      </w:pPr>
      <w:r w:rsidRPr="004B5B1D">
        <w:rPr>
          <w:rFonts w:ascii="Times New Roman" w:hAnsi="Times New Roman" w:cs="Times New Roman"/>
        </w:rPr>
        <w:t xml:space="preserve">Section </w:t>
      </w:r>
      <w:r w:rsidR="00451B4A" w:rsidRPr="004B5B1D">
        <w:rPr>
          <w:rFonts w:ascii="Times New Roman" w:hAnsi="Times New Roman" w:cs="Times New Roman"/>
        </w:rPr>
        <w:t xml:space="preserve">7.4 </w:t>
      </w:r>
      <w:r w:rsidRPr="004B5B1D">
        <w:rPr>
          <w:rFonts w:ascii="Times New Roman" w:hAnsi="Times New Roman" w:cs="Times New Roman"/>
        </w:rPr>
        <w:t xml:space="preserve">of the </w:t>
      </w:r>
      <w:r w:rsidRPr="00C57629">
        <w:rPr>
          <w:rFonts w:ascii="Times New Roman" w:hAnsi="Times New Roman" w:cs="Times New Roman"/>
          <w:i/>
          <w:iCs/>
        </w:rPr>
        <w:t xml:space="preserve">Chairperson’s Guideline </w:t>
      </w:r>
      <w:r w:rsidR="00077AD9" w:rsidRPr="00C57629">
        <w:rPr>
          <w:rFonts w:ascii="Times New Roman" w:hAnsi="Times New Roman" w:cs="Times New Roman"/>
          <w:i/>
          <w:iCs/>
        </w:rPr>
        <w:t>4</w:t>
      </w:r>
      <w:r w:rsidR="00077AD9" w:rsidRPr="004B5B1D">
        <w:rPr>
          <w:rFonts w:ascii="Times New Roman" w:hAnsi="Times New Roman" w:cs="Times New Roman"/>
        </w:rPr>
        <w:t xml:space="preserve"> provides</w:t>
      </w:r>
      <w:r w:rsidRPr="004B5B1D">
        <w:rPr>
          <w:rFonts w:ascii="Times New Roman" w:hAnsi="Times New Roman" w:cs="Times New Roman"/>
        </w:rPr>
        <w:t xml:space="preserve"> that w</w:t>
      </w:r>
      <w:r w:rsidR="00451B4A" w:rsidRPr="004B5B1D">
        <w:rPr>
          <w:rFonts w:ascii="Times New Roman" w:hAnsi="Times New Roman" w:cs="Times New Roman"/>
        </w:rPr>
        <w:t>here a credibility concern arises from a person’s evidence or testimony, members should:</w:t>
      </w:r>
    </w:p>
    <w:p w14:paraId="32818F14" w14:textId="77777777" w:rsidR="00451B4A" w:rsidRPr="004B5B1D" w:rsidRDefault="00451B4A" w:rsidP="00346B3E">
      <w:pPr>
        <w:numPr>
          <w:ilvl w:val="0"/>
          <w:numId w:val="5"/>
        </w:numPr>
        <w:jc w:val="both"/>
        <w:rPr>
          <w:rFonts w:ascii="Times New Roman" w:hAnsi="Times New Roman" w:cs="Times New Roman"/>
        </w:rPr>
      </w:pPr>
      <w:r w:rsidRPr="004B5B1D">
        <w:rPr>
          <w:rFonts w:ascii="Times New Roman" w:hAnsi="Times New Roman" w:cs="Times New Roman"/>
        </w:rPr>
        <w:t>explain the concern to the person;</w:t>
      </w:r>
    </w:p>
    <w:p w14:paraId="2F5AAF55" w14:textId="77777777" w:rsidR="00451B4A" w:rsidRPr="004B5B1D" w:rsidRDefault="00451B4A" w:rsidP="00251A57">
      <w:pPr>
        <w:numPr>
          <w:ilvl w:val="0"/>
          <w:numId w:val="5"/>
        </w:numPr>
        <w:spacing w:before="100" w:beforeAutospacing="1" w:after="100" w:afterAutospacing="1"/>
        <w:jc w:val="both"/>
        <w:rPr>
          <w:rFonts w:ascii="Times New Roman" w:hAnsi="Times New Roman" w:cs="Times New Roman"/>
        </w:rPr>
      </w:pPr>
      <w:r w:rsidRPr="004B5B1D">
        <w:rPr>
          <w:rFonts w:ascii="Times New Roman" w:hAnsi="Times New Roman" w:cs="Times New Roman"/>
        </w:rPr>
        <w:t>provide an opportunity for the person to respond to the concern;</w:t>
      </w:r>
    </w:p>
    <w:p w14:paraId="45052B24" w14:textId="77777777" w:rsidR="00451B4A" w:rsidRPr="004B5B1D" w:rsidRDefault="00451B4A" w:rsidP="00251A57">
      <w:pPr>
        <w:numPr>
          <w:ilvl w:val="0"/>
          <w:numId w:val="5"/>
        </w:numPr>
        <w:spacing w:beforeAutospacing="1" w:afterAutospacing="1"/>
        <w:jc w:val="both"/>
        <w:rPr>
          <w:rFonts w:ascii="Times New Roman" w:hAnsi="Times New Roman" w:cs="Times New Roman"/>
        </w:rPr>
      </w:pPr>
      <w:r w:rsidRPr="004B5B1D">
        <w:rPr>
          <w:rFonts w:ascii="Times New Roman" w:hAnsi="Times New Roman" w:cs="Times New Roman"/>
        </w:rPr>
        <w:t>consider the person’s response and whether trauma or its aftereffects may reasonably explain the perceived discrepancy;</w:t>
      </w:r>
    </w:p>
    <w:p w14:paraId="7254E70E" w14:textId="77777777" w:rsidR="00451B4A" w:rsidRPr="004B5B1D" w:rsidRDefault="00451B4A" w:rsidP="00251A57">
      <w:pPr>
        <w:numPr>
          <w:ilvl w:val="0"/>
          <w:numId w:val="5"/>
        </w:numPr>
        <w:spacing w:before="100" w:beforeAutospacing="1" w:after="100" w:afterAutospacing="1"/>
        <w:jc w:val="both"/>
        <w:rPr>
          <w:rFonts w:ascii="Times New Roman" w:hAnsi="Times New Roman" w:cs="Times New Roman"/>
        </w:rPr>
      </w:pPr>
      <w:r w:rsidRPr="004B5B1D">
        <w:rPr>
          <w:rFonts w:ascii="Times New Roman" w:hAnsi="Times New Roman" w:cs="Times New Roman"/>
        </w:rPr>
        <w:lastRenderedPageBreak/>
        <w:t>evaluate the totality of the circumstances and the internal consistency of the evidence; and</w:t>
      </w:r>
    </w:p>
    <w:p w14:paraId="3E310244" w14:textId="01E18AE3" w:rsidR="00451B4A" w:rsidRPr="004B5B1D" w:rsidRDefault="00451B4A" w:rsidP="00251A57">
      <w:pPr>
        <w:numPr>
          <w:ilvl w:val="0"/>
          <w:numId w:val="5"/>
        </w:numPr>
        <w:spacing w:before="100" w:beforeAutospacing="1" w:after="100" w:afterAutospacing="1"/>
        <w:jc w:val="both"/>
        <w:rPr>
          <w:rFonts w:ascii="Times New Roman" w:hAnsi="Times New Roman" w:cs="Times New Roman"/>
        </w:rPr>
      </w:pPr>
      <w:r w:rsidRPr="004B5B1D">
        <w:rPr>
          <w:rFonts w:ascii="Times New Roman" w:hAnsi="Times New Roman" w:cs="Times New Roman"/>
        </w:rPr>
        <w:t>explain in their reasons for decision whether the response reasonably accounts for the discrepancy</w:t>
      </w:r>
      <w:r w:rsidR="0039293E" w:rsidRPr="004B5B1D">
        <w:rPr>
          <w:rFonts w:ascii="Times New Roman" w:hAnsi="Times New Roman" w:cs="Times New Roman"/>
        </w:rPr>
        <w:t>.</w:t>
      </w:r>
      <w:r w:rsidR="00CC140A" w:rsidRPr="004B5B1D">
        <w:rPr>
          <w:rStyle w:val="FootnoteReference"/>
          <w:rFonts w:ascii="Times New Roman" w:hAnsi="Times New Roman" w:cs="Times New Roman"/>
        </w:rPr>
        <w:footnoteReference w:id="55"/>
      </w:r>
    </w:p>
    <w:p w14:paraId="7930C00B" w14:textId="14A80415" w:rsidR="00451B4A" w:rsidRPr="004B5B1D" w:rsidRDefault="00451B4A"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i/>
          <w:iCs/>
        </w:rPr>
      </w:pPr>
      <w:r w:rsidRPr="004B5B1D">
        <w:rPr>
          <w:rFonts w:ascii="Times New Roman" w:hAnsi="Times New Roman" w:cs="Times New Roman"/>
        </w:rPr>
        <w:t>The RPD erred in finding that Ms. Barbosa Reis’ presumption of truthfulness was rebutted because of a “material inconsistency” between her BOC narrative and family law affidavit, which led to a negative credibility finding.</w:t>
      </w:r>
      <w:r w:rsidR="0039293E" w:rsidRPr="004B5B1D">
        <w:rPr>
          <w:rFonts w:ascii="Times New Roman" w:hAnsi="Times New Roman" w:cs="Times New Roman"/>
        </w:rPr>
        <w:t xml:space="preserve"> </w:t>
      </w:r>
      <w:r w:rsidRPr="004B5B1D">
        <w:rPr>
          <w:rFonts w:ascii="Times New Roman" w:hAnsi="Times New Roman" w:cs="Times New Roman"/>
        </w:rPr>
        <w:t>There was no material inconsistency between her BOC narrative and family law affidavit. In the alternative, if there was a material inconsistency, the RPD should have thoroughly explained any potential credibility concern to her, given her an opportunity to respond, and considered her response with regard to all of her circumstances, and written in its reasons whether her explanation was adequate</w:t>
      </w:r>
      <w:r w:rsidR="00CC140A" w:rsidRPr="004B5B1D">
        <w:rPr>
          <w:rFonts w:ascii="Times New Roman" w:hAnsi="Times New Roman" w:cs="Times New Roman"/>
        </w:rPr>
        <w:t xml:space="preserve"> as per section 7.4 of </w:t>
      </w:r>
      <w:r w:rsidR="00CC140A" w:rsidRPr="00C57629">
        <w:rPr>
          <w:rFonts w:ascii="Times New Roman" w:hAnsi="Times New Roman" w:cs="Times New Roman"/>
          <w:i/>
          <w:iCs/>
        </w:rPr>
        <w:t>the Chairperson’s Gender Guidelines</w:t>
      </w:r>
      <w:r w:rsidRPr="00C57629">
        <w:rPr>
          <w:rFonts w:ascii="Times New Roman" w:hAnsi="Times New Roman" w:cs="Times New Roman"/>
          <w:i/>
          <w:iCs/>
        </w:rPr>
        <w:t>.</w:t>
      </w:r>
      <w:r w:rsidRPr="004B5B1D">
        <w:rPr>
          <w:rFonts w:ascii="Times New Roman" w:hAnsi="Times New Roman" w:cs="Times New Roman"/>
        </w:rPr>
        <w:t xml:space="preserve"> </w:t>
      </w:r>
    </w:p>
    <w:p w14:paraId="5E4461ED" w14:textId="661D2355" w:rsidR="00451B4A" w:rsidRPr="004B5B1D" w:rsidRDefault="00451B4A"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i/>
          <w:iCs/>
        </w:rPr>
      </w:pPr>
      <w:r w:rsidRPr="004B5B1D">
        <w:rPr>
          <w:rFonts w:ascii="Times New Roman" w:hAnsi="Times New Roman" w:cs="Times New Roman"/>
        </w:rPr>
        <w:t>For there to be a material inconsistency strong enough to rebut the presumption of truthfulness or the credibility of the claimant, the inconsistency “must be significant and be central to the claim”.</w:t>
      </w:r>
      <w:r w:rsidR="0039293E" w:rsidRPr="004B5B1D">
        <w:rPr>
          <w:rStyle w:val="FootnoteReference"/>
          <w:rFonts w:ascii="Times New Roman" w:hAnsi="Times New Roman" w:cs="Times New Roman"/>
        </w:rPr>
        <w:t xml:space="preserve"> </w:t>
      </w:r>
      <w:r w:rsidR="0039293E" w:rsidRPr="004B5B1D">
        <w:rPr>
          <w:rStyle w:val="FootnoteReference"/>
          <w:rFonts w:ascii="Times New Roman" w:hAnsi="Times New Roman" w:cs="Times New Roman"/>
        </w:rPr>
        <w:footnoteReference w:id="56"/>
      </w:r>
      <w:r w:rsidRPr="004B5B1D">
        <w:rPr>
          <w:rFonts w:ascii="Times New Roman" w:hAnsi="Times New Roman" w:cs="Times New Roman"/>
        </w:rPr>
        <w:t xml:space="preserve"> If there is an inconsistency that comes up in the course of the proceedings, for example, between two pieces of evidence, the RPD should allow the claimant to explain why an inconsistency may be present and consider the explanation so long as it is not obviously implausible. </w:t>
      </w:r>
    </w:p>
    <w:p w14:paraId="5C14232E" w14:textId="46B17441" w:rsidR="006C2FEA" w:rsidRPr="004B5B1D" w:rsidRDefault="00451B4A"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i/>
          <w:iCs/>
        </w:rPr>
      </w:pPr>
      <w:r w:rsidRPr="004B5B1D">
        <w:rPr>
          <w:rFonts w:ascii="Times New Roman" w:hAnsi="Times New Roman" w:cs="Times New Roman"/>
        </w:rPr>
        <w:t xml:space="preserve">In </w:t>
      </w:r>
      <w:r w:rsidR="00E90299" w:rsidRPr="004B5B1D">
        <w:rPr>
          <w:rFonts w:ascii="Times New Roman" w:hAnsi="Times New Roman" w:cs="Times New Roman"/>
        </w:rPr>
        <w:t>its</w:t>
      </w:r>
      <w:r w:rsidRPr="004B5B1D">
        <w:rPr>
          <w:rFonts w:ascii="Times New Roman" w:hAnsi="Times New Roman" w:cs="Times New Roman"/>
        </w:rPr>
        <w:t xml:space="preserve"> reasons, the RPD explained that Ms. Barbosa Reis’ presumption of truthfulness was rebutted because of a “material inconsistency</w:t>
      </w:r>
      <w:r w:rsidR="00761829" w:rsidRPr="004B5B1D">
        <w:rPr>
          <w:rFonts w:ascii="Times New Roman" w:hAnsi="Times New Roman" w:cs="Times New Roman"/>
        </w:rPr>
        <w:t xml:space="preserve">” </w:t>
      </w:r>
      <w:r w:rsidRPr="004B5B1D">
        <w:rPr>
          <w:rFonts w:ascii="Times New Roman" w:hAnsi="Times New Roman" w:cs="Times New Roman"/>
        </w:rPr>
        <w:t xml:space="preserve">between her BOC narrative and family law affidavit, which in part led to a negative credibility finding. </w:t>
      </w:r>
    </w:p>
    <w:p w14:paraId="7D9B9B52" w14:textId="4B711E76" w:rsidR="00870BF9" w:rsidRPr="004B5B1D" w:rsidRDefault="00451B4A"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i/>
          <w:iCs/>
        </w:rPr>
      </w:pPr>
      <w:r w:rsidRPr="004B5B1D">
        <w:rPr>
          <w:rFonts w:ascii="Times New Roman" w:hAnsi="Times New Roman" w:cs="Times New Roman"/>
        </w:rPr>
        <w:lastRenderedPageBreak/>
        <w:t xml:space="preserve">When Ms. Barbosa Reis filed her amended BOC narrative after severing her claim from her abusive husband, the BOC narrative went into detail about the domestic abuse she suffered at the hands of Mr. Alves Barbosa. The description of the abuse the children suffered was less detailed. Instead of recounting a specific incident, Ms. Barbosa Reis’ amended BOC stated that Mr. Alves Barbosa hit and yelled at the children when they were too loud or cried. In her family law affidavit however, Ms. Barbosa Reis included specific incidents where Mr. Alves Barbosa physically abused their children. For </w:t>
      </w:r>
      <w:r w:rsidR="000F73F4" w:rsidRPr="004B5B1D">
        <w:rPr>
          <w:rFonts w:ascii="Times New Roman" w:hAnsi="Times New Roman" w:cs="Times New Roman"/>
        </w:rPr>
        <w:t>example,</w:t>
      </w:r>
      <w:r w:rsidRPr="004B5B1D">
        <w:rPr>
          <w:rFonts w:ascii="Times New Roman" w:hAnsi="Times New Roman" w:cs="Times New Roman"/>
        </w:rPr>
        <w:t xml:space="preserve"> on April 15, 2021, Mr. Alves Barbosa struck their eldest child on the shoulder and threatened to throw him out the window if he did not stop crying. </w:t>
      </w:r>
    </w:p>
    <w:p w14:paraId="006DABBA" w14:textId="7D761FF2" w:rsidR="00451B4A" w:rsidRPr="004B5B1D" w:rsidRDefault="00451B4A"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i/>
          <w:iCs/>
        </w:rPr>
      </w:pPr>
      <w:r w:rsidRPr="004B5B1D">
        <w:rPr>
          <w:rFonts w:ascii="Times New Roman" w:hAnsi="Times New Roman" w:cs="Times New Roman"/>
        </w:rPr>
        <w:t xml:space="preserve">Although </w:t>
      </w:r>
      <w:r w:rsidR="008655EE" w:rsidRPr="004B5B1D">
        <w:rPr>
          <w:rFonts w:ascii="Times New Roman" w:hAnsi="Times New Roman" w:cs="Times New Roman"/>
        </w:rPr>
        <w:t xml:space="preserve">Ms. Barbosa Reis’ </w:t>
      </w:r>
      <w:r w:rsidRPr="004B5B1D">
        <w:rPr>
          <w:rFonts w:ascii="Times New Roman" w:hAnsi="Times New Roman" w:cs="Times New Roman"/>
        </w:rPr>
        <w:t xml:space="preserve">BOC narrative and </w:t>
      </w:r>
      <w:r w:rsidR="00525128" w:rsidRPr="004B5B1D">
        <w:rPr>
          <w:rFonts w:ascii="Times New Roman" w:hAnsi="Times New Roman" w:cs="Times New Roman"/>
        </w:rPr>
        <w:t>her</w:t>
      </w:r>
      <w:r w:rsidRPr="004B5B1D">
        <w:rPr>
          <w:rFonts w:ascii="Times New Roman" w:hAnsi="Times New Roman" w:cs="Times New Roman"/>
        </w:rPr>
        <w:t xml:space="preserve"> family law affidavit contain different levels of specificity when describing the same incident, this difference does not amount to a “material inconsistency”. Both the BOC narrative and family law affidavit speak to the fact that Mr. Alves Barbosa hit his children when they cried. The BOC narrative and family law affidavit do not present conflicting accounts of the same incident.</w:t>
      </w:r>
    </w:p>
    <w:p w14:paraId="580C17DB" w14:textId="3A8C2AB1" w:rsidR="002B63F9" w:rsidRPr="00C80295" w:rsidRDefault="00451B4A" w:rsidP="00C80295">
      <w:pPr>
        <w:pStyle w:val="ListParagraph"/>
        <w:numPr>
          <w:ilvl w:val="0"/>
          <w:numId w:val="3"/>
        </w:numPr>
        <w:spacing w:before="100" w:beforeAutospacing="1" w:after="100" w:afterAutospacing="1" w:line="480" w:lineRule="auto"/>
        <w:ind w:left="0" w:firstLine="0"/>
        <w:jc w:val="both"/>
        <w:rPr>
          <w:rFonts w:ascii="Times New Roman" w:hAnsi="Times New Roman" w:cs="Times New Roman"/>
          <w:i/>
          <w:iCs/>
        </w:rPr>
      </w:pPr>
      <w:r w:rsidRPr="004B5B1D">
        <w:rPr>
          <w:rFonts w:ascii="Times New Roman" w:hAnsi="Times New Roman" w:cs="Times New Roman"/>
        </w:rPr>
        <w:t>When asked about the differing levels of specificity, Ms. Barbosa Reis provided a reasonable explanation</w:t>
      </w:r>
      <w:r w:rsidR="00E20887" w:rsidRPr="004B5B1D">
        <w:rPr>
          <w:rFonts w:ascii="Times New Roman" w:hAnsi="Times New Roman" w:cs="Times New Roman"/>
        </w:rPr>
        <w:t>. S</w:t>
      </w:r>
      <w:r w:rsidRPr="004B5B1D">
        <w:rPr>
          <w:rFonts w:ascii="Times New Roman" w:hAnsi="Times New Roman" w:cs="Times New Roman"/>
        </w:rPr>
        <w:t xml:space="preserve">he </w:t>
      </w:r>
      <w:r w:rsidR="00CD0CBD" w:rsidRPr="004B5B1D">
        <w:rPr>
          <w:rFonts w:ascii="Times New Roman" w:hAnsi="Times New Roman" w:cs="Times New Roman"/>
        </w:rPr>
        <w:t xml:space="preserve">explained that she </w:t>
      </w:r>
      <w:r w:rsidRPr="004B5B1D">
        <w:rPr>
          <w:rFonts w:ascii="Times New Roman" w:hAnsi="Times New Roman" w:cs="Times New Roman"/>
        </w:rPr>
        <w:t xml:space="preserve">did not provide additional details in </w:t>
      </w:r>
      <w:r w:rsidR="003378E3" w:rsidRPr="004B5B1D">
        <w:rPr>
          <w:rFonts w:ascii="Times New Roman" w:hAnsi="Times New Roman" w:cs="Times New Roman"/>
        </w:rPr>
        <w:t>her</w:t>
      </w:r>
      <w:r w:rsidRPr="004B5B1D">
        <w:rPr>
          <w:rFonts w:ascii="Times New Roman" w:hAnsi="Times New Roman" w:cs="Times New Roman"/>
        </w:rPr>
        <w:t xml:space="preserve"> BOC narrative because she believed that she would be able to testify at the hearing. She further explained that she understood that the Designated Representative assigned to her children would file any additional information as required. The RPD was quick to reject her explanation due to the age of the children. The RPD board member failed to consider the reasonableness of Ms. Barbosa Reis’ explanation in light of her personal circumstances. Ms. Barbosa Reis is no ordinary claimant. She has endured extreme hardship in her marriage, suffered years of ongoing domestic violence and the effects of trauma. Despite this, she was willing to testify to provide additional information when asked to do so. </w:t>
      </w:r>
    </w:p>
    <w:p w14:paraId="7E9AC1A0" w14:textId="07977264" w:rsidR="002F3DB6" w:rsidRPr="004B5B1D" w:rsidRDefault="002F3DB6" w:rsidP="00CC20EE">
      <w:pPr>
        <w:spacing w:before="100" w:beforeAutospacing="1" w:after="100" w:afterAutospacing="1" w:line="480" w:lineRule="auto"/>
        <w:jc w:val="center"/>
        <w:rPr>
          <w:rFonts w:ascii="Times New Roman" w:eastAsia="Times New Roman" w:hAnsi="Times New Roman" w:cs="Times New Roman"/>
          <w:b/>
          <w:bCs/>
        </w:rPr>
      </w:pPr>
      <w:r w:rsidRPr="004B5B1D">
        <w:rPr>
          <w:rFonts w:ascii="Times New Roman" w:eastAsia="Times New Roman" w:hAnsi="Times New Roman" w:cs="Times New Roman"/>
          <w:b/>
          <w:bCs/>
        </w:rPr>
        <w:lastRenderedPageBreak/>
        <w:t>PART IV: ORDERS SOUGHT</w:t>
      </w:r>
    </w:p>
    <w:p w14:paraId="6F2D2163" w14:textId="6F87CE9C" w:rsidR="009B33B0" w:rsidRPr="004B5B1D" w:rsidRDefault="009B33B0" w:rsidP="00251A57">
      <w:pPr>
        <w:pStyle w:val="ListParagraph"/>
        <w:numPr>
          <w:ilvl w:val="0"/>
          <w:numId w:val="3"/>
        </w:numPr>
        <w:spacing w:before="100" w:beforeAutospacing="1" w:after="100" w:afterAutospacing="1" w:line="480" w:lineRule="auto"/>
        <w:ind w:left="0" w:firstLine="0"/>
        <w:jc w:val="both"/>
        <w:rPr>
          <w:rFonts w:ascii="Times New Roman" w:hAnsi="Times New Roman" w:cs="Times New Roman"/>
        </w:rPr>
      </w:pPr>
      <w:r w:rsidRPr="004B5B1D">
        <w:rPr>
          <w:rFonts w:ascii="Times New Roman" w:hAnsi="Times New Roman" w:cs="Times New Roman"/>
        </w:rPr>
        <w:t xml:space="preserve">The Respondent respectfully requests that this Honourable Court order the following: </w:t>
      </w:r>
    </w:p>
    <w:p w14:paraId="480E3946" w14:textId="495A136F" w:rsidR="009B33B0" w:rsidRPr="004B5B1D" w:rsidRDefault="009B33B0" w:rsidP="00251A57">
      <w:pPr>
        <w:pStyle w:val="ListParagraph"/>
        <w:numPr>
          <w:ilvl w:val="0"/>
          <w:numId w:val="4"/>
        </w:numPr>
        <w:spacing w:before="100" w:beforeAutospacing="1" w:after="100" w:afterAutospacing="1" w:line="480" w:lineRule="auto"/>
        <w:jc w:val="both"/>
        <w:rPr>
          <w:rFonts w:ascii="Times New Roman" w:hAnsi="Times New Roman" w:cs="Times New Roman"/>
        </w:rPr>
      </w:pPr>
      <w:r w:rsidRPr="004B5B1D">
        <w:rPr>
          <w:rFonts w:ascii="Times New Roman" w:hAnsi="Times New Roman" w:cs="Times New Roman"/>
        </w:rPr>
        <w:t xml:space="preserve">Uphold the decision of the Federal Court to overturn the Immigration and Refugee Board decision and submit the matter for redetermination by a differently constituted Panel; and </w:t>
      </w:r>
    </w:p>
    <w:p w14:paraId="4EFC9EBF" w14:textId="60E18E49" w:rsidR="009B33B0" w:rsidRPr="004B5B1D" w:rsidRDefault="009B33B0" w:rsidP="00251A57">
      <w:pPr>
        <w:pStyle w:val="ListParagraph"/>
        <w:numPr>
          <w:ilvl w:val="0"/>
          <w:numId w:val="4"/>
        </w:numPr>
        <w:spacing w:before="100" w:beforeAutospacing="1" w:after="100" w:afterAutospacing="1" w:line="480" w:lineRule="auto"/>
        <w:jc w:val="both"/>
        <w:rPr>
          <w:rFonts w:ascii="Times New Roman" w:hAnsi="Times New Roman" w:cs="Times New Roman"/>
        </w:rPr>
      </w:pPr>
      <w:r w:rsidRPr="004B5B1D">
        <w:rPr>
          <w:rFonts w:ascii="Times New Roman" w:hAnsi="Times New Roman" w:cs="Times New Roman"/>
        </w:rPr>
        <w:t xml:space="preserve">Answer the certified question in the negative. </w:t>
      </w:r>
    </w:p>
    <w:p w14:paraId="2825F1C1" w14:textId="724FEB31" w:rsidR="002F3DB6" w:rsidRPr="004B5B1D" w:rsidRDefault="002F3DB6" w:rsidP="002F3DB6">
      <w:pPr>
        <w:spacing w:before="100" w:beforeAutospacing="1" w:after="100" w:afterAutospacing="1" w:line="480" w:lineRule="auto"/>
        <w:jc w:val="center"/>
        <w:rPr>
          <w:rFonts w:ascii="Times New Roman" w:eastAsia="Times New Roman" w:hAnsi="Times New Roman" w:cs="Times New Roman"/>
          <w:b/>
          <w:bCs/>
        </w:rPr>
      </w:pPr>
      <w:r w:rsidRPr="004B5B1D">
        <w:rPr>
          <w:rFonts w:ascii="Times New Roman" w:eastAsia="Times New Roman" w:hAnsi="Times New Roman" w:cs="Times New Roman"/>
          <w:b/>
          <w:bCs/>
        </w:rPr>
        <w:t xml:space="preserve">APPENDIX: LIST OF AUTHORITIES </w:t>
      </w:r>
    </w:p>
    <w:p w14:paraId="05081179" w14:textId="77777777" w:rsidR="00CC140A" w:rsidRPr="004B5B1D" w:rsidRDefault="00CC140A" w:rsidP="002A5C4D">
      <w:pPr>
        <w:jc w:val="both"/>
        <w:rPr>
          <w:rFonts w:ascii="Times New Roman" w:eastAsia="Times New Roman" w:hAnsi="Times New Roman" w:cs="Times New Roman"/>
          <w:b/>
          <w:bCs/>
        </w:rPr>
      </w:pPr>
      <w:r w:rsidRPr="004B5B1D">
        <w:rPr>
          <w:rFonts w:ascii="Times New Roman" w:eastAsia="Times New Roman" w:hAnsi="Times New Roman" w:cs="Times New Roman"/>
          <w:b/>
          <w:bCs/>
        </w:rPr>
        <w:t xml:space="preserve">Legislation </w:t>
      </w:r>
    </w:p>
    <w:p w14:paraId="20FC208C" w14:textId="5AA8E26C" w:rsidR="00CC140A" w:rsidRPr="004B5B1D" w:rsidRDefault="00CC140A" w:rsidP="00962C11">
      <w:pPr>
        <w:pStyle w:val="NormalWeb"/>
        <w:spacing w:before="0" w:beforeAutospacing="0" w:after="0" w:afterAutospacing="0"/>
        <w:ind w:left="720" w:hanging="720"/>
        <w:jc w:val="both"/>
      </w:pPr>
      <w:r w:rsidRPr="004B5B1D">
        <w:t>Immigration and Refugee Protection Act, SC 2001, c 27, ss 96, 97(1), 170.  </w:t>
      </w:r>
    </w:p>
    <w:p w14:paraId="647094DB" w14:textId="438F6945" w:rsidR="00CC140A" w:rsidRPr="004B5B1D" w:rsidRDefault="00CC140A" w:rsidP="0039293E">
      <w:pPr>
        <w:pStyle w:val="NormalWeb"/>
        <w:spacing w:before="0" w:beforeAutospacing="0" w:after="0" w:afterAutospacing="0"/>
        <w:jc w:val="both"/>
      </w:pPr>
      <w:r w:rsidRPr="004B5B1D">
        <w:t>Refugee Protection Division Rules, SOR/2012-256</w:t>
      </w:r>
      <w:r w:rsidR="0039293E" w:rsidRPr="004B5B1D">
        <w:t>.</w:t>
      </w:r>
    </w:p>
    <w:p w14:paraId="6FC655C1" w14:textId="77777777" w:rsidR="0039293E" w:rsidRPr="004B5B1D" w:rsidRDefault="0039293E" w:rsidP="0039293E">
      <w:pPr>
        <w:pStyle w:val="NormalWeb"/>
        <w:spacing w:before="0" w:beforeAutospacing="0" w:after="0" w:afterAutospacing="0"/>
        <w:jc w:val="both"/>
        <w:rPr>
          <w:b/>
          <w:bCs/>
        </w:rPr>
      </w:pPr>
    </w:p>
    <w:p w14:paraId="4E0B72B2" w14:textId="77777777" w:rsidR="00CC140A" w:rsidRPr="004B5B1D" w:rsidRDefault="00CC140A" w:rsidP="002A5C4D">
      <w:pPr>
        <w:jc w:val="both"/>
        <w:rPr>
          <w:rFonts w:ascii="Times New Roman" w:eastAsia="Times New Roman" w:hAnsi="Times New Roman" w:cs="Times New Roman"/>
          <w:b/>
          <w:bCs/>
        </w:rPr>
      </w:pPr>
      <w:r w:rsidRPr="004B5B1D">
        <w:rPr>
          <w:rFonts w:ascii="Times New Roman" w:eastAsia="Times New Roman" w:hAnsi="Times New Roman" w:cs="Times New Roman"/>
          <w:b/>
          <w:bCs/>
        </w:rPr>
        <w:t>Cases</w:t>
      </w:r>
    </w:p>
    <w:p w14:paraId="283BE80A" w14:textId="513760D8" w:rsidR="00CC140A" w:rsidRPr="004B5B1D" w:rsidRDefault="00CC140A" w:rsidP="002A5C4D">
      <w:pPr>
        <w:pStyle w:val="NormalWeb"/>
        <w:spacing w:before="0" w:beforeAutospacing="0" w:after="0" w:afterAutospacing="0"/>
        <w:jc w:val="both"/>
      </w:pPr>
      <w:r w:rsidRPr="004B5B1D">
        <w:rPr>
          <w:i/>
          <w:iCs/>
        </w:rPr>
        <w:t xml:space="preserve">Benitez v Canada (Minister of Citizenship and Immigration), </w:t>
      </w:r>
      <w:r w:rsidRPr="004B5B1D">
        <w:t>2006 FC 461, [2007] 1 FCR 107.</w:t>
      </w:r>
    </w:p>
    <w:p w14:paraId="1D418527" w14:textId="59068636" w:rsidR="00CC140A" w:rsidRPr="004B5B1D" w:rsidRDefault="00CC140A" w:rsidP="002A5C4D">
      <w:pPr>
        <w:pStyle w:val="NormalWeb"/>
        <w:spacing w:before="0" w:beforeAutospacing="0" w:after="0" w:afterAutospacing="0"/>
        <w:ind w:left="720" w:hanging="720"/>
        <w:jc w:val="both"/>
      </w:pPr>
      <w:r w:rsidRPr="004B5B1D">
        <w:rPr>
          <w:i/>
          <w:iCs/>
        </w:rPr>
        <w:t xml:space="preserve">Canada (Minister of Citizenship and Immigration) </w:t>
      </w:r>
      <w:r w:rsidR="00061087">
        <w:rPr>
          <w:i/>
          <w:iCs/>
        </w:rPr>
        <w:t>v</w:t>
      </w:r>
      <w:r w:rsidRPr="004B5B1D">
        <w:rPr>
          <w:i/>
          <w:iCs/>
        </w:rPr>
        <w:t xml:space="preserve"> Vavilov, </w:t>
      </w:r>
      <w:r w:rsidRPr="004B5B1D">
        <w:t>2019 SCC 65, [2019] 4 SCR 653.</w:t>
      </w:r>
    </w:p>
    <w:p w14:paraId="759DE183" w14:textId="61FA1B60" w:rsidR="00CC140A" w:rsidRPr="004B5B1D" w:rsidRDefault="00CC140A" w:rsidP="002A5C4D">
      <w:pPr>
        <w:pStyle w:val="NormalWeb"/>
        <w:spacing w:before="0" w:beforeAutospacing="0" w:after="0" w:afterAutospacing="0"/>
        <w:ind w:left="720" w:hanging="720"/>
        <w:jc w:val="both"/>
      </w:pPr>
      <w:r w:rsidRPr="004B5B1D">
        <w:rPr>
          <w:i/>
          <w:iCs/>
        </w:rPr>
        <w:t xml:space="preserve">Fong v Canada (Public Safety and Emergency Preparedness), </w:t>
      </w:r>
      <w:r w:rsidRPr="00C1084D">
        <w:t>2010 FC 1134</w:t>
      </w:r>
      <w:r w:rsidR="002E45C7">
        <w:rPr>
          <w:i/>
          <w:iCs/>
        </w:rPr>
        <w:t>.</w:t>
      </w:r>
    </w:p>
    <w:p w14:paraId="44E14F35" w14:textId="7F56DC6C" w:rsidR="00CC140A" w:rsidRPr="004B5B1D" w:rsidRDefault="00CC140A" w:rsidP="002A5C4D">
      <w:pPr>
        <w:pStyle w:val="NormalWeb"/>
        <w:spacing w:before="0" w:beforeAutospacing="0" w:after="0" w:afterAutospacing="0"/>
        <w:jc w:val="both"/>
      </w:pPr>
      <w:proofErr w:type="spellStart"/>
      <w:r w:rsidRPr="004B5B1D">
        <w:rPr>
          <w:i/>
          <w:iCs/>
        </w:rPr>
        <w:t>Gjeta</w:t>
      </w:r>
      <w:proofErr w:type="spellEnd"/>
      <w:r w:rsidRPr="004B5B1D">
        <w:rPr>
          <w:i/>
          <w:iCs/>
        </w:rPr>
        <w:t xml:space="preserve"> </w:t>
      </w:r>
      <w:r w:rsidR="00061087">
        <w:rPr>
          <w:i/>
          <w:iCs/>
        </w:rPr>
        <w:t>v</w:t>
      </w:r>
      <w:r w:rsidRPr="004B5B1D">
        <w:rPr>
          <w:i/>
          <w:iCs/>
        </w:rPr>
        <w:t xml:space="preserve"> Canada (Citizenship and Immigration), </w:t>
      </w:r>
      <w:r w:rsidRPr="004B5B1D">
        <w:t>2019 FC 5.</w:t>
      </w:r>
    </w:p>
    <w:p w14:paraId="12A87E65" w14:textId="42530E1A" w:rsidR="00CC140A" w:rsidRPr="004B5B1D" w:rsidRDefault="00CC140A" w:rsidP="002A5C4D">
      <w:pPr>
        <w:pStyle w:val="NormalWeb"/>
        <w:spacing w:before="0" w:beforeAutospacing="0" w:after="0" w:afterAutospacing="0"/>
        <w:jc w:val="both"/>
      </w:pPr>
      <w:r w:rsidRPr="004B5B1D">
        <w:rPr>
          <w:i/>
          <w:iCs/>
        </w:rPr>
        <w:t xml:space="preserve">Gomez Florez v Canada (Citizenship and Immigration), </w:t>
      </w:r>
      <w:r w:rsidRPr="004B5B1D">
        <w:t>2016 FC 659.</w:t>
      </w:r>
    </w:p>
    <w:p w14:paraId="36DF1BC8" w14:textId="7B8666E3" w:rsidR="001B11C6" w:rsidRPr="004B5B1D" w:rsidRDefault="001B11C6" w:rsidP="001B11C6">
      <w:pPr>
        <w:pStyle w:val="NormalWeb"/>
        <w:spacing w:before="0" w:beforeAutospacing="0" w:after="0" w:afterAutospacing="0"/>
        <w:ind w:left="720" w:hanging="720"/>
        <w:jc w:val="both"/>
      </w:pPr>
      <w:r w:rsidRPr="004B5B1D">
        <w:rPr>
          <w:i/>
          <w:iCs/>
        </w:rPr>
        <w:t>Jemmo v Canada (Citizenship and Immigration)</w:t>
      </w:r>
      <w:r w:rsidRPr="004B5B1D">
        <w:t>, 2021 FC 965</w:t>
      </w:r>
      <w:r w:rsidR="00B46D55" w:rsidRPr="004B5B1D">
        <w:t>.</w:t>
      </w:r>
    </w:p>
    <w:p w14:paraId="6505AFDF" w14:textId="33CA7184" w:rsidR="00CC140A" w:rsidRPr="004B5B1D" w:rsidRDefault="00CC140A" w:rsidP="002A5C4D">
      <w:pPr>
        <w:pStyle w:val="NormalWeb"/>
        <w:spacing w:before="0" w:beforeAutospacing="0" w:after="0" w:afterAutospacing="0"/>
        <w:ind w:left="720" w:hanging="720"/>
        <w:jc w:val="both"/>
      </w:pPr>
      <w:r w:rsidRPr="004B5B1D">
        <w:rPr>
          <w:i/>
          <w:iCs/>
        </w:rPr>
        <w:t>Krishnasamy v Canada (Minister of Citizenship and Immigration)</w:t>
      </w:r>
      <w:r w:rsidRPr="004B5B1D">
        <w:t>, 2006 FC 451</w:t>
      </w:r>
      <w:r w:rsidR="00B46D55" w:rsidRPr="004B5B1D">
        <w:t>.</w:t>
      </w:r>
    </w:p>
    <w:p w14:paraId="2638ED48" w14:textId="77777777" w:rsidR="00CC140A" w:rsidRPr="004B5B1D" w:rsidRDefault="00CC140A" w:rsidP="002A5C4D">
      <w:pPr>
        <w:pStyle w:val="NormalWeb"/>
        <w:spacing w:before="0" w:beforeAutospacing="0" w:after="0" w:afterAutospacing="0"/>
        <w:jc w:val="both"/>
      </w:pPr>
      <w:r w:rsidRPr="004B5B1D">
        <w:rPr>
          <w:i/>
          <w:iCs/>
        </w:rPr>
        <w:t>Lozano Pulido v Canada (Citizenship and Immigration</w:t>
      </w:r>
      <w:r w:rsidRPr="004B5B1D">
        <w:t>), 2007 FC 209.</w:t>
      </w:r>
    </w:p>
    <w:p w14:paraId="7231F8E1" w14:textId="2FAAD3E0" w:rsidR="00346B3E" w:rsidRPr="00D77ECE" w:rsidRDefault="00346B3E" w:rsidP="00346B3E">
      <w:pPr>
        <w:rPr>
          <w:rFonts w:ascii="Times New Roman" w:eastAsia="Arial" w:hAnsi="Times New Roman" w:cs="Times New Roman"/>
          <w:color w:val="000000" w:themeColor="text1"/>
        </w:rPr>
      </w:pPr>
      <w:r w:rsidRPr="003C0B7C">
        <w:rPr>
          <w:rFonts w:ascii="Times New Roman" w:hAnsi="Times New Roman" w:cs="Times New Roman"/>
          <w:i/>
          <w:color w:val="000000" w:themeColor="text1"/>
        </w:rPr>
        <w:t>Maldonado v Canada (Minister of Employment and Immigration)</w:t>
      </w:r>
      <w:r w:rsidRPr="003C0B7C">
        <w:rPr>
          <w:rFonts w:ascii="Times New Roman" w:hAnsi="Times New Roman" w:cs="Times New Roman"/>
          <w:color w:val="000000" w:themeColor="text1"/>
        </w:rPr>
        <w:t>, 1980 FC 302</w:t>
      </w:r>
      <w:r w:rsidR="003A0994">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502245C4" w14:textId="77777777" w:rsidR="00CC140A" w:rsidRPr="004B5B1D" w:rsidRDefault="00CC140A" w:rsidP="002A5C4D">
      <w:pPr>
        <w:pStyle w:val="NormalWeb"/>
        <w:spacing w:before="0" w:beforeAutospacing="0" w:after="0" w:afterAutospacing="0"/>
        <w:jc w:val="both"/>
      </w:pPr>
      <w:proofErr w:type="spellStart"/>
      <w:r w:rsidRPr="004B5B1D">
        <w:rPr>
          <w:i/>
          <w:iCs/>
        </w:rPr>
        <w:t>Mojico</w:t>
      </w:r>
      <w:proofErr w:type="spellEnd"/>
      <w:r w:rsidRPr="004B5B1D">
        <w:rPr>
          <w:i/>
          <w:iCs/>
        </w:rPr>
        <w:t xml:space="preserve"> Romo v Canada (Minister of Citizenship and Immigration), </w:t>
      </w:r>
      <w:r w:rsidRPr="004B5B1D">
        <w:t>2006 FC 543</w:t>
      </w:r>
      <w:r w:rsidRPr="004B5B1D">
        <w:rPr>
          <w:i/>
          <w:iCs/>
        </w:rPr>
        <w:t>.</w:t>
      </w:r>
    </w:p>
    <w:p w14:paraId="4DDB5CEC" w14:textId="787192EA" w:rsidR="00CC140A" w:rsidRPr="004B5B1D" w:rsidRDefault="00CC140A" w:rsidP="002A5C4D">
      <w:pPr>
        <w:pStyle w:val="NormalWeb"/>
        <w:spacing w:before="0" w:beforeAutospacing="0" w:after="0" w:afterAutospacing="0"/>
        <w:jc w:val="both"/>
      </w:pPr>
      <w:proofErr w:type="spellStart"/>
      <w:r w:rsidRPr="004B5B1D">
        <w:rPr>
          <w:i/>
          <w:iCs/>
        </w:rPr>
        <w:t>Okpanachi</w:t>
      </w:r>
      <w:proofErr w:type="spellEnd"/>
      <w:r w:rsidRPr="004B5B1D">
        <w:rPr>
          <w:i/>
          <w:iCs/>
        </w:rPr>
        <w:t xml:space="preserve"> v Canada (Citizenship and Immigration), </w:t>
      </w:r>
      <w:r w:rsidRPr="004B5B1D">
        <w:t>2022 FC 212</w:t>
      </w:r>
      <w:r w:rsidRPr="004B5B1D">
        <w:rPr>
          <w:i/>
          <w:iCs/>
        </w:rPr>
        <w:t xml:space="preserve"> </w:t>
      </w:r>
      <w:r w:rsidRPr="004B5B1D">
        <w:t>at para 34.</w:t>
      </w:r>
    </w:p>
    <w:p w14:paraId="7388B913" w14:textId="2FD037D1" w:rsidR="00CC140A" w:rsidRPr="004B5B1D" w:rsidRDefault="00CC140A" w:rsidP="002A5C4D">
      <w:pPr>
        <w:pStyle w:val="NormalWeb"/>
        <w:spacing w:before="0" w:beforeAutospacing="0" w:after="0" w:afterAutospacing="0"/>
        <w:ind w:left="720" w:hanging="720"/>
        <w:jc w:val="both"/>
      </w:pPr>
      <w:r w:rsidRPr="004B5B1D">
        <w:rPr>
          <w:i/>
          <w:iCs/>
        </w:rPr>
        <w:t xml:space="preserve">Olah v Canada (Citizenship and Immigration), </w:t>
      </w:r>
      <w:r w:rsidRPr="004B5B1D">
        <w:t>2019 FC 401</w:t>
      </w:r>
      <w:r w:rsidR="002E45C7">
        <w:t>.</w:t>
      </w:r>
    </w:p>
    <w:p w14:paraId="59C5B795" w14:textId="7745CA15" w:rsidR="00346B3E" w:rsidRDefault="00346B3E" w:rsidP="002A5C4D">
      <w:pPr>
        <w:pStyle w:val="NormalWeb"/>
        <w:spacing w:before="0" w:beforeAutospacing="0" w:after="0" w:afterAutospacing="0"/>
        <w:ind w:left="720" w:hanging="720"/>
        <w:jc w:val="both"/>
      </w:pPr>
      <w:r w:rsidRPr="00091163">
        <w:rPr>
          <w:i/>
          <w:iCs/>
        </w:rPr>
        <w:t>R.K.L. v Canada (Minister of Citizenship and Immigration),</w:t>
      </w:r>
      <w:r w:rsidRPr="00091163">
        <w:t xml:space="preserve"> [2003] F.C.J. No. 162. </w:t>
      </w:r>
    </w:p>
    <w:p w14:paraId="777E38FC" w14:textId="4B6671E0" w:rsidR="00CC140A" w:rsidRPr="004B5B1D" w:rsidRDefault="00CC140A" w:rsidP="002A5C4D">
      <w:pPr>
        <w:pStyle w:val="NormalWeb"/>
        <w:spacing w:before="0" w:beforeAutospacing="0" w:after="0" w:afterAutospacing="0"/>
        <w:ind w:left="720" w:hanging="720"/>
        <w:jc w:val="both"/>
      </w:pPr>
      <w:r w:rsidRPr="004B5B1D">
        <w:rPr>
          <w:i/>
          <w:iCs/>
        </w:rPr>
        <w:t xml:space="preserve">Sheikh v Canada (Minister of Citizenship and Immigration), </w:t>
      </w:r>
      <w:r w:rsidRPr="004B5B1D">
        <w:t>2000 15200 (FC).</w:t>
      </w:r>
      <w:r w:rsidRPr="004B5B1D">
        <w:rPr>
          <w:b/>
          <w:bCs/>
        </w:rPr>
        <w:t xml:space="preserve"> </w:t>
      </w:r>
    </w:p>
    <w:p w14:paraId="405D0F89" w14:textId="77777777" w:rsidR="00CC140A" w:rsidRPr="004B5B1D" w:rsidRDefault="00CC140A" w:rsidP="002A5C4D">
      <w:pPr>
        <w:jc w:val="both"/>
        <w:rPr>
          <w:rFonts w:ascii="Times New Roman" w:eastAsia="Times New Roman" w:hAnsi="Times New Roman" w:cs="Times New Roman"/>
          <w:b/>
          <w:bCs/>
        </w:rPr>
      </w:pPr>
    </w:p>
    <w:p w14:paraId="4D29DB80" w14:textId="77777777" w:rsidR="00CC140A" w:rsidRPr="004B5B1D" w:rsidRDefault="00CC140A" w:rsidP="002A5C4D">
      <w:pPr>
        <w:jc w:val="both"/>
        <w:rPr>
          <w:rFonts w:ascii="Times New Roman" w:eastAsia="Times New Roman" w:hAnsi="Times New Roman" w:cs="Times New Roman"/>
          <w:b/>
          <w:bCs/>
        </w:rPr>
      </w:pPr>
      <w:r w:rsidRPr="004B5B1D">
        <w:rPr>
          <w:rFonts w:ascii="Times New Roman" w:eastAsia="Times New Roman" w:hAnsi="Times New Roman" w:cs="Times New Roman"/>
          <w:b/>
          <w:bCs/>
        </w:rPr>
        <w:t xml:space="preserve">Secondary Sources </w:t>
      </w:r>
    </w:p>
    <w:p w14:paraId="3FF069C7" w14:textId="66E23819" w:rsidR="00DE41AE" w:rsidRPr="004B5B1D" w:rsidRDefault="00CC140A" w:rsidP="002A5C4D">
      <w:pPr>
        <w:pStyle w:val="NormalWeb"/>
        <w:spacing w:before="0" w:beforeAutospacing="0" w:after="0" w:afterAutospacing="0"/>
        <w:jc w:val="both"/>
      </w:pPr>
      <w:r w:rsidRPr="004B5B1D">
        <w:br/>
        <w:t xml:space="preserve">Aiken, </w:t>
      </w:r>
      <w:proofErr w:type="spellStart"/>
      <w:r w:rsidRPr="004B5B1D">
        <w:t>Sharry</w:t>
      </w:r>
      <w:proofErr w:type="spellEnd"/>
      <w:r w:rsidRPr="004B5B1D">
        <w:t xml:space="preserve"> J. </w:t>
      </w:r>
      <w:r w:rsidRPr="004B5B1D">
        <w:rPr>
          <w:i/>
          <w:iCs/>
        </w:rPr>
        <w:t xml:space="preserve">Immigration and Refugee Law, </w:t>
      </w:r>
      <w:r w:rsidR="0026267E" w:rsidRPr="004B5B1D">
        <w:t>3r</w:t>
      </w:r>
      <w:r w:rsidRPr="004B5B1D">
        <w:t>d ed</w:t>
      </w:r>
      <w:r w:rsidRPr="004B5B1D">
        <w:rPr>
          <w:i/>
          <w:iCs/>
        </w:rPr>
        <w:t xml:space="preserve"> </w:t>
      </w:r>
      <w:r w:rsidRPr="004B5B1D">
        <w:t>(Toronto: Emond, 20</w:t>
      </w:r>
      <w:r w:rsidR="00286E4D" w:rsidRPr="004B5B1D">
        <w:t>20</w:t>
      </w:r>
      <w:r w:rsidRPr="004B5B1D">
        <w:t>)</w:t>
      </w:r>
      <w:r w:rsidR="00346B3E">
        <w:t>.</w:t>
      </w:r>
    </w:p>
    <w:p w14:paraId="7D7E04C6" w14:textId="57760D1F" w:rsidR="00346B3E" w:rsidRPr="004B5B1D" w:rsidRDefault="00CC140A" w:rsidP="00DE41AE">
      <w:pPr>
        <w:pStyle w:val="NormalWeb"/>
        <w:spacing w:before="0" w:beforeAutospacing="0" w:after="0" w:afterAutospacing="0"/>
        <w:ind w:left="720" w:hanging="720"/>
        <w:jc w:val="both"/>
      </w:pPr>
      <w:r w:rsidRPr="004B5B1D">
        <w:t xml:space="preserve">Immigration and Refugee Board of Canada, “Chairperson’s Guideline 4: Gender Considerations in Proceedings Before the Immigration and Refugee Board” (July 18, 2022), online: </w:t>
      </w:r>
      <w:r w:rsidRPr="004B5B1D">
        <w:rPr>
          <w:i/>
          <w:iCs/>
        </w:rPr>
        <w:t xml:space="preserve">IRB </w:t>
      </w:r>
      <w:r w:rsidRPr="004B5B1D">
        <w:t>&lt;</w:t>
      </w:r>
      <w:hyperlink r:id="rId8" w:anchor="annex" w:history="1">
        <w:r w:rsidRPr="004B5B1D">
          <w:rPr>
            <w:rStyle w:val="Hyperlink"/>
            <w:color w:val="auto"/>
          </w:rPr>
          <w:t>irb.gc.ca/en/legal-policy/policies/Pages/GuideDir04.aspx#annex</w:t>
        </w:r>
      </w:hyperlink>
      <w:r w:rsidRPr="004B5B1D">
        <w:t>&gt;.</w:t>
      </w:r>
    </w:p>
    <w:p w14:paraId="59BAE439" w14:textId="0516D1AA" w:rsidR="00346B3E" w:rsidRPr="004B5B1D" w:rsidRDefault="00CC140A" w:rsidP="00DE41AE">
      <w:pPr>
        <w:pStyle w:val="NormalWeb"/>
        <w:spacing w:before="0" w:beforeAutospacing="0" w:after="0" w:afterAutospacing="0"/>
        <w:ind w:left="720" w:hanging="720"/>
        <w:jc w:val="both"/>
      </w:pPr>
      <w:r w:rsidRPr="004B5B1D">
        <w:t xml:space="preserve">Immigration and Refugee Board of Canada, “Policy on the Treatment of Unsolicited Information in the Refugee Protection Division” (April 20, 2016), online: </w:t>
      </w:r>
      <w:r w:rsidRPr="004B5B1D">
        <w:rPr>
          <w:i/>
          <w:iCs/>
        </w:rPr>
        <w:t>IRB</w:t>
      </w:r>
      <w:r w:rsidRPr="004B5B1D">
        <w:t xml:space="preserve"> &lt;</w:t>
      </w:r>
      <w:hyperlink r:id="rId9" w:history="1">
        <w:r w:rsidRPr="004B5B1D">
          <w:rPr>
            <w:rStyle w:val="Hyperlink"/>
            <w:color w:val="auto"/>
          </w:rPr>
          <w:t>irb.gc.ca/</w:t>
        </w:r>
        <w:proofErr w:type="spellStart"/>
        <w:r w:rsidRPr="004B5B1D">
          <w:rPr>
            <w:rStyle w:val="Hyperlink"/>
            <w:color w:val="auto"/>
          </w:rPr>
          <w:t>en</w:t>
        </w:r>
        <w:proofErr w:type="spellEnd"/>
        <w:r w:rsidRPr="004B5B1D">
          <w:rPr>
            <w:rStyle w:val="Hyperlink"/>
            <w:color w:val="auto"/>
          </w:rPr>
          <w:t>/legal-policy/policies/Pages/PolNonUnsol.aspx</w:t>
        </w:r>
      </w:hyperlink>
      <w:r w:rsidRPr="004B5B1D">
        <w:t>&gt;.</w:t>
      </w:r>
    </w:p>
    <w:p w14:paraId="280064D2" w14:textId="53D0D26C" w:rsidR="00CC140A" w:rsidRPr="004B5B1D" w:rsidRDefault="00CC140A" w:rsidP="00FC0305">
      <w:pPr>
        <w:pStyle w:val="NormalWeb"/>
        <w:spacing w:before="0" w:beforeAutospacing="0" w:after="0" w:afterAutospacing="0"/>
        <w:ind w:left="720" w:hanging="720"/>
        <w:jc w:val="both"/>
      </w:pPr>
      <w:r w:rsidRPr="004B5B1D">
        <w:lastRenderedPageBreak/>
        <w:t xml:space="preserve">Waldman, Lorne, “Division 1- Refugee Protection, Convention Refugees and Persons in Need of Protection” in 2023 ed, </w:t>
      </w:r>
      <w:r w:rsidRPr="004B5B1D">
        <w:rPr>
          <w:i/>
          <w:iCs/>
        </w:rPr>
        <w:t>Canadian Immigration &amp; Refugee Law Practice</w:t>
      </w:r>
      <w:r w:rsidRPr="004B5B1D">
        <w:t xml:space="preserve"> (online: LexisNexis Canada Inc., December 2022).</w:t>
      </w:r>
    </w:p>
    <w:p w14:paraId="0B0CFD25" w14:textId="7EC63B68" w:rsidR="0017554A" w:rsidRPr="004B5B1D" w:rsidRDefault="0017554A" w:rsidP="004506A0">
      <w:pPr>
        <w:pStyle w:val="ListParagraph"/>
        <w:spacing w:before="100" w:beforeAutospacing="1" w:after="100" w:afterAutospacing="1" w:line="480" w:lineRule="auto"/>
        <w:ind w:left="0"/>
        <w:jc w:val="both"/>
        <w:rPr>
          <w:rFonts w:ascii="Times New Roman" w:eastAsia="Times New Roman" w:hAnsi="Times New Roman" w:cs="Times New Roman"/>
          <w:b/>
          <w:bCs/>
        </w:rPr>
      </w:pPr>
    </w:p>
    <w:sectPr w:rsidR="0017554A" w:rsidRPr="004B5B1D">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2CF1" w14:textId="77777777" w:rsidR="00EE3D85" w:rsidRDefault="00EE3D85" w:rsidP="00F14188">
      <w:r>
        <w:separator/>
      </w:r>
    </w:p>
  </w:endnote>
  <w:endnote w:type="continuationSeparator" w:id="0">
    <w:p w14:paraId="11978A07" w14:textId="77777777" w:rsidR="00EE3D85" w:rsidRDefault="00EE3D85" w:rsidP="00F1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7622410"/>
      <w:docPartObj>
        <w:docPartGallery w:val="Page Numbers (Bottom of Page)"/>
        <w:docPartUnique/>
      </w:docPartObj>
    </w:sdtPr>
    <w:sdtContent>
      <w:p w14:paraId="73C56D25" w14:textId="277DEDDA" w:rsidR="00F14188" w:rsidRDefault="00F14188" w:rsidP="007731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354C86" w14:textId="77777777" w:rsidR="00F14188" w:rsidRDefault="00F14188" w:rsidP="00F14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1150029278"/>
      <w:docPartObj>
        <w:docPartGallery w:val="Page Numbers (Bottom of Page)"/>
        <w:docPartUnique/>
      </w:docPartObj>
    </w:sdtPr>
    <w:sdtContent>
      <w:p w14:paraId="05D028A5" w14:textId="5CDD912C" w:rsidR="00F14188" w:rsidRPr="00F14188" w:rsidRDefault="00F14188" w:rsidP="007731DC">
        <w:pPr>
          <w:pStyle w:val="Footer"/>
          <w:framePr w:wrap="none" w:vAnchor="text" w:hAnchor="margin" w:xAlign="right" w:y="1"/>
          <w:rPr>
            <w:rStyle w:val="PageNumber"/>
            <w:rFonts w:ascii="Times" w:hAnsi="Times"/>
          </w:rPr>
        </w:pPr>
        <w:r w:rsidRPr="00F14188">
          <w:rPr>
            <w:rStyle w:val="PageNumber"/>
            <w:rFonts w:ascii="Times" w:hAnsi="Times"/>
          </w:rPr>
          <w:fldChar w:fldCharType="begin"/>
        </w:r>
        <w:r w:rsidRPr="00F14188">
          <w:rPr>
            <w:rStyle w:val="PageNumber"/>
            <w:rFonts w:ascii="Times" w:hAnsi="Times"/>
          </w:rPr>
          <w:instrText xml:space="preserve"> PAGE </w:instrText>
        </w:r>
        <w:r w:rsidRPr="00F14188">
          <w:rPr>
            <w:rStyle w:val="PageNumber"/>
            <w:rFonts w:ascii="Times" w:hAnsi="Times"/>
          </w:rPr>
          <w:fldChar w:fldCharType="separate"/>
        </w:r>
        <w:r w:rsidRPr="00F14188">
          <w:rPr>
            <w:rStyle w:val="PageNumber"/>
            <w:rFonts w:ascii="Times" w:hAnsi="Times"/>
            <w:noProof/>
          </w:rPr>
          <w:t>1</w:t>
        </w:r>
        <w:r w:rsidRPr="00F14188">
          <w:rPr>
            <w:rStyle w:val="PageNumber"/>
            <w:rFonts w:ascii="Times" w:hAnsi="Times"/>
          </w:rPr>
          <w:fldChar w:fldCharType="end"/>
        </w:r>
      </w:p>
    </w:sdtContent>
  </w:sdt>
  <w:p w14:paraId="068A61A2" w14:textId="77777777" w:rsidR="00F14188" w:rsidRDefault="00F14188" w:rsidP="00F141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32AF" w14:textId="77777777" w:rsidR="00EE3D85" w:rsidRDefault="00EE3D85" w:rsidP="00F14188">
      <w:r>
        <w:separator/>
      </w:r>
    </w:p>
  </w:footnote>
  <w:footnote w:type="continuationSeparator" w:id="0">
    <w:p w14:paraId="29826B43" w14:textId="77777777" w:rsidR="00EE3D85" w:rsidRDefault="00EE3D85" w:rsidP="00F14188">
      <w:r>
        <w:continuationSeparator/>
      </w:r>
    </w:p>
  </w:footnote>
  <w:footnote w:id="1">
    <w:p w14:paraId="290453DF" w14:textId="67DD2230" w:rsidR="008E0F7F" w:rsidRPr="00600FF3" w:rsidRDefault="008E0F7F" w:rsidP="008E0F7F">
      <w:pPr>
        <w:pStyle w:val="FootnoteText"/>
        <w:rPr>
          <w:sz w:val="24"/>
          <w:szCs w:val="24"/>
        </w:rPr>
      </w:pPr>
      <w:r w:rsidRPr="00600FF3">
        <w:rPr>
          <w:rStyle w:val="FootnoteReference"/>
          <w:sz w:val="24"/>
          <w:szCs w:val="24"/>
        </w:rPr>
        <w:footnoteRef/>
      </w:r>
      <w:r w:rsidRPr="00600FF3">
        <w:rPr>
          <w:sz w:val="24"/>
          <w:szCs w:val="24"/>
        </w:rPr>
        <w:t xml:space="preserve"> </w:t>
      </w:r>
      <w:r w:rsidRPr="00600FF3">
        <w:rPr>
          <w:rFonts w:ascii="Times New Roman" w:hAnsi="Times New Roman" w:cs="Times New Roman"/>
          <w:i/>
          <w:iCs/>
          <w:sz w:val="24"/>
          <w:szCs w:val="24"/>
        </w:rPr>
        <w:t>Immigration and Refugee Protection Act</w:t>
      </w:r>
      <w:r w:rsidRPr="00600FF3">
        <w:rPr>
          <w:rFonts w:ascii="Times New Roman" w:hAnsi="Times New Roman" w:cs="Times New Roman"/>
          <w:sz w:val="24"/>
          <w:szCs w:val="24"/>
        </w:rPr>
        <w:t>, S.C. 2001, c.27, ss 96 &amp; 97(1) [</w:t>
      </w:r>
      <w:r w:rsidR="007E0ACC" w:rsidRPr="007E0ACC">
        <w:rPr>
          <w:rFonts w:ascii="Times New Roman" w:hAnsi="Times New Roman" w:cs="Times New Roman"/>
          <w:i/>
          <w:iCs/>
          <w:sz w:val="24"/>
          <w:szCs w:val="24"/>
        </w:rPr>
        <w:t>IRPA</w:t>
      </w:r>
      <w:r w:rsidRPr="00600FF3">
        <w:rPr>
          <w:rFonts w:ascii="Times New Roman" w:hAnsi="Times New Roman" w:cs="Times New Roman"/>
          <w:sz w:val="24"/>
          <w:szCs w:val="24"/>
        </w:rPr>
        <w:t>].</w:t>
      </w:r>
    </w:p>
  </w:footnote>
  <w:footnote w:id="2">
    <w:p w14:paraId="28040321" w14:textId="1182ACD8" w:rsidR="00686807" w:rsidRPr="00600FF3" w:rsidRDefault="00686807" w:rsidP="00686807">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Immigration and Refugee Board of Canada</w:t>
      </w:r>
      <w:r w:rsidR="00AB15E4">
        <w:rPr>
          <w:rFonts w:ascii="Times New Roman" w:hAnsi="Times New Roman" w:cs="Times New Roman"/>
          <w:sz w:val="24"/>
          <w:szCs w:val="24"/>
        </w:rPr>
        <w:t>,</w:t>
      </w:r>
      <w:r w:rsidRPr="00600FF3">
        <w:rPr>
          <w:rFonts w:ascii="Times New Roman" w:hAnsi="Times New Roman" w:cs="Times New Roman"/>
          <w:sz w:val="24"/>
          <w:szCs w:val="24"/>
        </w:rPr>
        <w:t xml:space="preserve"> “Chairperson’s Guideline 4: Gender Considerations in Proceedings Before the Immigration and Refugee Board” </w:t>
      </w:r>
      <w:r w:rsidR="00AB15E4" w:rsidRPr="00AB15E4">
        <w:rPr>
          <w:rFonts w:ascii="Times New Roman" w:hAnsi="Times New Roman" w:cs="Times New Roman"/>
          <w:sz w:val="24"/>
          <w:szCs w:val="24"/>
        </w:rPr>
        <w:t xml:space="preserve">(July 18, 2022), online: </w:t>
      </w:r>
      <w:r w:rsidR="00AB15E4" w:rsidRPr="00AB15E4">
        <w:rPr>
          <w:rFonts w:ascii="Times New Roman" w:hAnsi="Times New Roman" w:cs="Times New Roman"/>
          <w:i/>
          <w:iCs/>
          <w:sz w:val="24"/>
          <w:szCs w:val="24"/>
        </w:rPr>
        <w:t xml:space="preserve">IRB </w:t>
      </w:r>
      <w:r w:rsidR="00AB15E4" w:rsidRPr="00AB15E4">
        <w:rPr>
          <w:rFonts w:ascii="Times New Roman" w:hAnsi="Times New Roman" w:cs="Times New Roman"/>
          <w:sz w:val="24"/>
          <w:szCs w:val="24"/>
        </w:rPr>
        <w:t>&lt;</w:t>
      </w:r>
      <w:hyperlink r:id="rId1" w:anchor="annex" w:history="1">
        <w:r w:rsidR="00AB15E4" w:rsidRPr="00AB15E4">
          <w:rPr>
            <w:rStyle w:val="Hyperlink"/>
            <w:rFonts w:ascii="Times New Roman" w:hAnsi="Times New Roman" w:cs="Times New Roman"/>
            <w:sz w:val="24"/>
            <w:szCs w:val="24"/>
          </w:rPr>
          <w:t>irb.gc.ca/</w:t>
        </w:r>
        <w:r w:rsidR="00AB15E4" w:rsidRPr="00AB15E4">
          <w:rPr>
            <w:rStyle w:val="Hyperlink"/>
            <w:rFonts w:ascii="Times New Roman" w:hAnsi="Times New Roman" w:cs="Times New Roman"/>
            <w:sz w:val="24"/>
            <w:szCs w:val="24"/>
          </w:rPr>
          <w:t>en/legal-policy/policies/Pages/GuideDir04.aspx#annex</w:t>
        </w:r>
      </w:hyperlink>
      <w:r w:rsidR="00AB15E4" w:rsidRPr="00AB15E4">
        <w:rPr>
          <w:rFonts w:ascii="Times New Roman" w:hAnsi="Times New Roman" w:cs="Times New Roman"/>
          <w:sz w:val="24"/>
          <w:szCs w:val="24"/>
        </w:rPr>
        <w:t>&gt;</w:t>
      </w:r>
      <w:r w:rsidR="00AB15E4">
        <w:rPr>
          <w:rFonts w:ascii="Times New Roman" w:hAnsi="Times New Roman" w:cs="Times New Roman"/>
          <w:sz w:val="24"/>
          <w:szCs w:val="24"/>
        </w:rPr>
        <w:t xml:space="preserve"> </w:t>
      </w:r>
      <w:r w:rsidR="00AB15E4" w:rsidRPr="00600FF3">
        <w:rPr>
          <w:rFonts w:ascii="Times New Roman" w:hAnsi="Times New Roman" w:cs="Times New Roman"/>
          <w:sz w:val="24"/>
          <w:szCs w:val="24"/>
        </w:rPr>
        <w:t>[</w:t>
      </w:r>
      <w:r w:rsidR="00AB15E4" w:rsidRPr="00600FF3">
        <w:rPr>
          <w:rFonts w:ascii="Times New Roman" w:hAnsi="Times New Roman" w:cs="Times New Roman"/>
          <w:i/>
          <w:iCs/>
          <w:sz w:val="24"/>
          <w:szCs w:val="24"/>
        </w:rPr>
        <w:t>Chairperson’s Guidelines</w:t>
      </w:r>
      <w:r w:rsidR="00AB15E4" w:rsidRPr="00600FF3">
        <w:rPr>
          <w:rFonts w:ascii="Times New Roman" w:hAnsi="Times New Roman" w:cs="Times New Roman"/>
          <w:sz w:val="24"/>
          <w:szCs w:val="24"/>
        </w:rPr>
        <w:t>].</w:t>
      </w:r>
    </w:p>
  </w:footnote>
  <w:footnote w:id="3">
    <w:p w14:paraId="44B4A8DF" w14:textId="407636E1" w:rsidR="004018F9" w:rsidRPr="00600FF3" w:rsidRDefault="004018F9">
      <w:pPr>
        <w:pStyle w:val="FootnoteText"/>
        <w:rPr>
          <w:rFonts w:ascii="Times New Roman" w:hAnsi="Times New Roman" w:cs="Times New Roman"/>
          <w:sz w:val="24"/>
          <w:szCs w:val="24"/>
        </w:rPr>
      </w:pPr>
      <w:r w:rsidRPr="00600FF3">
        <w:rPr>
          <w:rStyle w:val="FootnoteReference"/>
          <w:rFonts w:ascii="Times New Roman" w:hAnsi="Times New Roman" w:cs="Times New Roman"/>
          <w:i/>
          <w:iCs/>
          <w:sz w:val="24"/>
          <w:szCs w:val="24"/>
        </w:rPr>
        <w:footnoteRef/>
      </w:r>
      <w:r w:rsidRPr="00600FF3">
        <w:rPr>
          <w:rFonts w:ascii="Times New Roman" w:hAnsi="Times New Roman" w:cs="Times New Roman"/>
          <w:i/>
          <w:iCs/>
          <w:sz w:val="24"/>
          <w:szCs w:val="24"/>
        </w:rPr>
        <w:t xml:space="preserve"> </w:t>
      </w:r>
      <w:r w:rsidR="007E0ACC" w:rsidRPr="007E0ACC">
        <w:rPr>
          <w:rFonts w:ascii="Times New Roman" w:hAnsi="Times New Roman" w:cs="Times New Roman"/>
          <w:i/>
          <w:iCs/>
          <w:sz w:val="24"/>
          <w:szCs w:val="24"/>
        </w:rPr>
        <w:t>IRPA</w:t>
      </w:r>
      <w:r w:rsidR="007E0ACC">
        <w:rPr>
          <w:rFonts w:ascii="Times New Roman" w:hAnsi="Times New Roman" w:cs="Times New Roman"/>
          <w:i/>
          <w:iCs/>
          <w:sz w:val="24"/>
          <w:szCs w:val="24"/>
        </w:rPr>
        <w:t>,</w:t>
      </w:r>
      <w:r w:rsidR="007E0ACC">
        <w:rPr>
          <w:rFonts w:ascii="Times New Roman" w:hAnsi="Times New Roman" w:cs="Times New Roman"/>
          <w:sz w:val="24"/>
          <w:szCs w:val="24"/>
        </w:rPr>
        <w:t xml:space="preserve"> </w:t>
      </w:r>
      <w:r w:rsidR="007E0ACC">
        <w:rPr>
          <w:rFonts w:ascii="Times New Roman" w:hAnsi="Times New Roman" w:cs="Times New Roman"/>
          <w:i/>
          <w:iCs/>
          <w:sz w:val="24"/>
          <w:szCs w:val="24"/>
        </w:rPr>
        <w:t xml:space="preserve">supra </w:t>
      </w:r>
      <w:r w:rsidR="007E0ACC">
        <w:rPr>
          <w:rFonts w:ascii="Times New Roman" w:hAnsi="Times New Roman" w:cs="Times New Roman"/>
          <w:sz w:val="24"/>
          <w:szCs w:val="24"/>
        </w:rPr>
        <w:t>note 1</w:t>
      </w:r>
      <w:r w:rsidR="0091567D">
        <w:rPr>
          <w:rFonts w:ascii="Times New Roman" w:hAnsi="Times New Roman" w:cs="Times New Roman"/>
          <w:sz w:val="24"/>
          <w:szCs w:val="24"/>
        </w:rPr>
        <w:t>.</w:t>
      </w:r>
      <w:r w:rsidRPr="00600FF3">
        <w:rPr>
          <w:rFonts w:ascii="Times New Roman" w:hAnsi="Times New Roman" w:cs="Times New Roman"/>
          <w:sz w:val="24"/>
          <w:szCs w:val="24"/>
        </w:rPr>
        <w:t xml:space="preserve"> </w:t>
      </w:r>
    </w:p>
  </w:footnote>
  <w:footnote w:id="4">
    <w:p w14:paraId="18CAC15C" w14:textId="2D333143" w:rsidR="00B56984" w:rsidRPr="00B56984" w:rsidRDefault="00B56984">
      <w:pPr>
        <w:pStyle w:val="FootnoteText"/>
        <w:rPr>
          <w:rFonts w:ascii="Times New Roman" w:hAnsi="Times New Roman" w:cs="Times New Roman"/>
        </w:rPr>
      </w:pPr>
      <w:r>
        <w:rPr>
          <w:rStyle w:val="FootnoteReference"/>
        </w:rPr>
        <w:footnoteRef/>
      </w:r>
      <w:r>
        <w:t xml:space="preserve"> </w:t>
      </w:r>
      <w:r w:rsidRPr="00B56984">
        <w:rPr>
          <w:rFonts w:ascii="Times New Roman" w:hAnsi="Times New Roman" w:cs="Times New Roman"/>
          <w:i/>
          <w:iCs/>
          <w:sz w:val="24"/>
          <w:szCs w:val="24"/>
        </w:rPr>
        <w:t>Barbosa Reis (Re)</w:t>
      </w:r>
      <w:r w:rsidRPr="00B56984">
        <w:rPr>
          <w:rFonts w:ascii="Times New Roman" w:hAnsi="Times New Roman" w:cs="Times New Roman"/>
          <w:sz w:val="24"/>
          <w:szCs w:val="24"/>
        </w:rPr>
        <w:t xml:space="preserve"> 12345 CA IRB [RPD Reasons].</w:t>
      </w:r>
      <w:r>
        <w:rPr>
          <w:rFonts w:ascii="Times New Roman" w:hAnsi="Times New Roman" w:cs="Times New Roman"/>
        </w:rPr>
        <w:t xml:space="preserve"> </w:t>
      </w:r>
    </w:p>
  </w:footnote>
  <w:footnote w:id="5">
    <w:p w14:paraId="0C0F16DA" w14:textId="2A80ED33" w:rsidR="009077F0" w:rsidRPr="00600FF3" w:rsidRDefault="009077F0" w:rsidP="009077F0">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4018F9" w:rsidRPr="00600FF3">
        <w:rPr>
          <w:rFonts w:ascii="Times New Roman" w:hAnsi="Times New Roman" w:cs="Times New Roman"/>
          <w:i/>
          <w:iCs/>
          <w:sz w:val="24"/>
          <w:szCs w:val="24"/>
        </w:rPr>
        <w:t>Refugee Protection Division Rules,</w:t>
      </w:r>
      <w:r w:rsidR="004018F9" w:rsidRPr="00600FF3">
        <w:rPr>
          <w:rFonts w:ascii="Times New Roman" w:hAnsi="Times New Roman" w:cs="Times New Roman"/>
          <w:sz w:val="24"/>
          <w:szCs w:val="24"/>
        </w:rPr>
        <w:t xml:space="preserve"> SOR/2012-256, s.56(2) [</w:t>
      </w:r>
      <w:r w:rsidR="004018F9" w:rsidRPr="00600FF3">
        <w:rPr>
          <w:rFonts w:ascii="Times New Roman" w:hAnsi="Times New Roman" w:cs="Times New Roman"/>
          <w:i/>
          <w:iCs/>
          <w:sz w:val="24"/>
          <w:szCs w:val="24"/>
        </w:rPr>
        <w:t>RPD Rules</w:t>
      </w:r>
      <w:r w:rsidR="004018F9" w:rsidRPr="00600FF3">
        <w:rPr>
          <w:rFonts w:ascii="Times New Roman" w:hAnsi="Times New Roman" w:cs="Times New Roman"/>
          <w:sz w:val="24"/>
          <w:szCs w:val="24"/>
        </w:rPr>
        <w:t>].</w:t>
      </w:r>
    </w:p>
  </w:footnote>
  <w:footnote w:id="6">
    <w:p w14:paraId="75D90788" w14:textId="3955962E" w:rsidR="00253D88" w:rsidRPr="00600FF3" w:rsidRDefault="00253D88" w:rsidP="00253D88">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RPD Rules</w:t>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supra</w:t>
      </w:r>
      <w:r w:rsidRPr="00600FF3">
        <w:rPr>
          <w:rFonts w:ascii="Times New Roman" w:hAnsi="Times New Roman" w:cs="Times New Roman"/>
          <w:sz w:val="24"/>
          <w:szCs w:val="24"/>
        </w:rPr>
        <w:t xml:space="preserve"> note </w:t>
      </w:r>
      <w:r w:rsidR="00C57629">
        <w:rPr>
          <w:rFonts w:ascii="Times New Roman" w:hAnsi="Times New Roman" w:cs="Times New Roman"/>
          <w:sz w:val="24"/>
          <w:szCs w:val="24"/>
        </w:rPr>
        <w:t>5</w:t>
      </w:r>
      <w:r>
        <w:rPr>
          <w:rFonts w:ascii="Times New Roman" w:hAnsi="Times New Roman" w:cs="Times New Roman"/>
          <w:sz w:val="24"/>
          <w:szCs w:val="24"/>
        </w:rPr>
        <w:t xml:space="preserve"> </w:t>
      </w:r>
      <w:r w:rsidRPr="00600FF3">
        <w:rPr>
          <w:rFonts w:ascii="Times New Roman" w:hAnsi="Times New Roman" w:cs="Times New Roman"/>
          <w:sz w:val="24"/>
          <w:szCs w:val="24"/>
        </w:rPr>
        <w:t>s 21(5)</w:t>
      </w:r>
      <w:r>
        <w:rPr>
          <w:rFonts w:ascii="Times New Roman" w:hAnsi="Times New Roman" w:cs="Times New Roman"/>
          <w:sz w:val="24"/>
          <w:szCs w:val="24"/>
        </w:rPr>
        <w:t>;</w:t>
      </w:r>
      <w:r w:rsidRPr="00253D88">
        <w:rPr>
          <w:rFonts w:ascii="Times New Roman" w:hAnsi="Times New Roman" w:cs="Times New Roman"/>
          <w:i/>
          <w:iCs/>
          <w:sz w:val="24"/>
          <w:szCs w:val="24"/>
        </w:rPr>
        <w:t xml:space="preserve"> </w:t>
      </w:r>
      <w:r w:rsidRPr="007E0ACC">
        <w:rPr>
          <w:rFonts w:ascii="Times New Roman" w:hAnsi="Times New Roman" w:cs="Times New Roman"/>
          <w:i/>
          <w:iCs/>
          <w:sz w:val="24"/>
          <w:szCs w:val="24"/>
        </w:rPr>
        <w:t>IRPA</w:t>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supra</w:t>
      </w:r>
      <w:r w:rsidRPr="00600FF3">
        <w:rPr>
          <w:rFonts w:ascii="Times New Roman" w:hAnsi="Times New Roman" w:cs="Times New Roman"/>
          <w:sz w:val="24"/>
          <w:szCs w:val="24"/>
        </w:rPr>
        <w:t xml:space="preserve"> note 1</w:t>
      </w:r>
      <w:r>
        <w:rPr>
          <w:rFonts w:ascii="Times New Roman" w:hAnsi="Times New Roman" w:cs="Times New Roman"/>
          <w:sz w:val="24"/>
          <w:szCs w:val="24"/>
        </w:rPr>
        <w:t xml:space="preserve"> </w:t>
      </w:r>
      <w:r w:rsidRPr="00600FF3">
        <w:rPr>
          <w:rFonts w:ascii="Times New Roman" w:hAnsi="Times New Roman" w:cs="Times New Roman"/>
          <w:sz w:val="24"/>
          <w:szCs w:val="24"/>
        </w:rPr>
        <w:t>s170(h).</w:t>
      </w:r>
    </w:p>
  </w:footnote>
  <w:footnote w:id="7">
    <w:p w14:paraId="6EF6CA90" w14:textId="7426579E" w:rsidR="009F6026" w:rsidRPr="00600FF3" w:rsidRDefault="009F6026" w:rsidP="009F6026">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Benitez v Canada (Minister of Citizenship and Immigration), </w:t>
      </w:r>
      <w:r w:rsidRPr="00600FF3">
        <w:rPr>
          <w:rFonts w:ascii="Times New Roman" w:hAnsi="Times New Roman" w:cs="Times New Roman"/>
          <w:sz w:val="24"/>
          <w:szCs w:val="24"/>
        </w:rPr>
        <w:t xml:space="preserve">2006 FC 461, [2007] 1 FCR 107 at para 62. </w:t>
      </w:r>
    </w:p>
  </w:footnote>
  <w:footnote w:id="8">
    <w:p w14:paraId="50EDE47C" w14:textId="434EBF3C" w:rsidR="009F6026" w:rsidRPr="00600FF3" w:rsidRDefault="009F6026" w:rsidP="009F6026">
      <w:pPr>
        <w:pStyle w:val="FootnoteText"/>
        <w:rPr>
          <w:rFonts w:ascii="Times New Roman" w:hAnsi="Times New Roman" w:cs="Times New Roman"/>
          <w:sz w:val="24"/>
          <w:szCs w:val="24"/>
        </w:rPr>
      </w:pPr>
      <w:r w:rsidRPr="00600FF3">
        <w:rPr>
          <w:rStyle w:val="FootnoteReference"/>
          <w:sz w:val="24"/>
          <w:szCs w:val="24"/>
        </w:rPr>
        <w:footnoteRef/>
      </w:r>
      <w:r w:rsidRPr="00600FF3">
        <w:rPr>
          <w:sz w:val="24"/>
          <w:szCs w:val="24"/>
        </w:rPr>
        <w:t xml:space="preserve"> </w:t>
      </w:r>
      <w:r w:rsidRPr="00600FF3">
        <w:rPr>
          <w:rFonts w:ascii="Times New Roman" w:hAnsi="Times New Roman" w:cs="Times New Roman"/>
          <w:i/>
          <w:iCs/>
          <w:sz w:val="24"/>
          <w:szCs w:val="24"/>
        </w:rPr>
        <w:t xml:space="preserve">Canada (Minister of Citizenship and Immigration) v Vavilov, </w:t>
      </w:r>
      <w:r w:rsidRPr="00600FF3">
        <w:rPr>
          <w:rFonts w:ascii="Times New Roman" w:hAnsi="Times New Roman" w:cs="Times New Roman"/>
          <w:sz w:val="24"/>
          <w:szCs w:val="24"/>
        </w:rPr>
        <w:t xml:space="preserve">2019 SCC 65 (CanLII), [2019] 4 SCR 653 </w:t>
      </w:r>
      <w:r>
        <w:rPr>
          <w:rFonts w:ascii="Times New Roman" w:hAnsi="Times New Roman" w:cs="Times New Roman"/>
          <w:sz w:val="24"/>
          <w:szCs w:val="24"/>
        </w:rPr>
        <w:t xml:space="preserve">at para 23 </w:t>
      </w:r>
      <w:r w:rsidRPr="00600FF3">
        <w:rPr>
          <w:rFonts w:ascii="Times New Roman" w:hAnsi="Times New Roman" w:cs="Times New Roman"/>
          <w:sz w:val="24"/>
          <w:szCs w:val="24"/>
        </w:rPr>
        <w:t>[</w:t>
      </w:r>
      <w:r w:rsidRPr="00600FF3">
        <w:rPr>
          <w:rFonts w:ascii="Times New Roman" w:hAnsi="Times New Roman" w:cs="Times New Roman"/>
          <w:i/>
          <w:iCs/>
          <w:sz w:val="24"/>
          <w:szCs w:val="24"/>
        </w:rPr>
        <w:t>Vavilov</w:t>
      </w:r>
      <w:r w:rsidRPr="00600FF3">
        <w:rPr>
          <w:rFonts w:ascii="Times New Roman" w:hAnsi="Times New Roman" w:cs="Times New Roman"/>
          <w:sz w:val="24"/>
          <w:szCs w:val="24"/>
        </w:rPr>
        <w:t>].</w:t>
      </w:r>
    </w:p>
  </w:footnote>
  <w:footnote w:id="9">
    <w:p w14:paraId="543215DF" w14:textId="77777777" w:rsidR="009F6026" w:rsidRPr="00600FF3" w:rsidRDefault="009F6026" w:rsidP="009F6026">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Ibid </w:t>
      </w:r>
      <w:r w:rsidRPr="00600FF3">
        <w:rPr>
          <w:rFonts w:ascii="Times New Roman" w:hAnsi="Times New Roman" w:cs="Times New Roman"/>
          <w:sz w:val="24"/>
          <w:szCs w:val="24"/>
        </w:rPr>
        <w:t>at para 100.</w:t>
      </w:r>
    </w:p>
  </w:footnote>
  <w:footnote w:id="10">
    <w:p w14:paraId="126A70AF" w14:textId="4BF75F67" w:rsidR="00BE1284" w:rsidRPr="00600FF3" w:rsidRDefault="00BE1284" w:rsidP="00BE1284">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9F6026">
        <w:rPr>
          <w:rFonts w:ascii="Times New Roman" w:hAnsi="Times New Roman" w:cs="Times New Roman"/>
          <w:i/>
          <w:iCs/>
          <w:sz w:val="24"/>
          <w:szCs w:val="24"/>
        </w:rPr>
        <w:t xml:space="preserve">Vavilov, supra </w:t>
      </w:r>
      <w:r w:rsidR="009F6026">
        <w:rPr>
          <w:rFonts w:ascii="Times New Roman" w:hAnsi="Times New Roman" w:cs="Times New Roman"/>
          <w:sz w:val="24"/>
          <w:szCs w:val="24"/>
        </w:rPr>
        <w:t xml:space="preserve">note </w:t>
      </w:r>
      <w:r w:rsidR="00C57629">
        <w:rPr>
          <w:rFonts w:ascii="Times New Roman" w:hAnsi="Times New Roman" w:cs="Times New Roman"/>
          <w:sz w:val="24"/>
          <w:szCs w:val="24"/>
        </w:rPr>
        <w:t>8</w:t>
      </w:r>
      <w:r w:rsidR="009F6026">
        <w:rPr>
          <w:rFonts w:ascii="Times New Roman" w:hAnsi="Times New Roman" w:cs="Times New Roman"/>
          <w:sz w:val="24"/>
          <w:szCs w:val="24"/>
        </w:rPr>
        <w:t xml:space="preserve"> at para 100</w:t>
      </w:r>
      <w:r w:rsidRPr="00600FF3">
        <w:rPr>
          <w:rFonts w:ascii="Times New Roman" w:hAnsi="Times New Roman" w:cs="Times New Roman"/>
          <w:i/>
          <w:iCs/>
          <w:sz w:val="24"/>
          <w:szCs w:val="24"/>
        </w:rPr>
        <w:t xml:space="preserve">. </w:t>
      </w:r>
    </w:p>
  </w:footnote>
  <w:footnote w:id="11">
    <w:p w14:paraId="1871A1B3" w14:textId="77777777" w:rsidR="00BE1284" w:rsidRPr="00600FF3" w:rsidRDefault="00BE1284" w:rsidP="00BE1284">
      <w:pPr>
        <w:pStyle w:val="FootnoteText"/>
        <w:rPr>
          <w:rFonts w:ascii="Times New Roman" w:hAnsi="Times New Roman" w:cs="Times New Roman"/>
          <w:i/>
          <w:iCs/>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Ibid. </w:t>
      </w:r>
    </w:p>
  </w:footnote>
  <w:footnote w:id="12">
    <w:p w14:paraId="2E537971" w14:textId="1FDD50ED" w:rsidR="000F711D" w:rsidRPr="00600FF3" w:rsidRDefault="000F711D">
      <w:pPr>
        <w:pStyle w:val="FootnoteText"/>
        <w:rPr>
          <w:rFonts w:ascii="Times New Roman" w:hAnsi="Times New Roman" w:cs="Times New Roman"/>
          <w:i/>
          <w:iCs/>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Ibid. </w:t>
      </w:r>
    </w:p>
  </w:footnote>
  <w:footnote w:id="13">
    <w:p w14:paraId="24C4877E" w14:textId="77777777" w:rsidR="00D2452D" w:rsidRPr="00632A4C" w:rsidRDefault="00D2452D" w:rsidP="00D2452D">
      <w:pPr>
        <w:pStyle w:val="FootnoteText"/>
        <w:rPr>
          <w:rFonts w:ascii="Times New Roman" w:hAnsi="Times New Roman" w:cs="Times New Roman"/>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Ibid.</w:t>
      </w:r>
      <w:r w:rsidRPr="00632A4C">
        <w:rPr>
          <w:rFonts w:ascii="Times New Roman" w:hAnsi="Times New Roman" w:cs="Times New Roman"/>
          <w:i/>
          <w:iCs/>
        </w:rPr>
        <w:t xml:space="preserve"> </w:t>
      </w:r>
    </w:p>
  </w:footnote>
  <w:footnote w:id="14">
    <w:p w14:paraId="22D50598" w14:textId="5F8D70DD" w:rsidR="006F0745" w:rsidRPr="00600FF3" w:rsidRDefault="006F0745" w:rsidP="006F0745">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477495" w:rsidRPr="00600FF3">
        <w:rPr>
          <w:rFonts w:ascii="Times New Roman" w:hAnsi="Times New Roman" w:cs="Times New Roman"/>
          <w:i/>
          <w:iCs/>
          <w:sz w:val="24"/>
          <w:szCs w:val="24"/>
        </w:rPr>
        <w:t>Barbosa Reis v The Minister of Citizenship and Immigration</w:t>
      </w:r>
      <w:r w:rsidR="005714F8">
        <w:rPr>
          <w:rFonts w:ascii="Times New Roman" w:hAnsi="Times New Roman" w:cs="Times New Roman"/>
          <w:i/>
          <w:iCs/>
          <w:sz w:val="24"/>
          <w:szCs w:val="24"/>
        </w:rPr>
        <w:t>,</w:t>
      </w:r>
      <w:r w:rsidR="00477495" w:rsidRPr="00600FF3">
        <w:rPr>
          <w:rFonts w:ascii="Times New Roman" w:hAnsi="Times New Roman" w:cs="Times New Roman"/>
          <w:i/>
          <w:iCs/>
          <w:sz w:val="24"/>
          <w:szCs w:val="24"/>
        </w:rPr>
        <w:t xml:space="preserve"> </w:t>
      </w:r>
      <w:r w:rsidR="00477495" w:rsidRPr="00600FF3">
        <w:rPr>
          <w:rFonts w:ascii="Times New Roman" w:hAnsi="Times New Roman" w:cs="Times New Roman"/>
          <w:sz w:val="24"/>
          <w:szCs w:val="24"/>
        </w:rPr>
        <w:t>20</w:t>
      </w:r>
      <w:r w:rsidR="00E63B21" w:rsidRPr="00600FF3">
        <w:rPr>
          <w:rFonts w:ascii="Times New Roman" w:hAnsi="Times New Roman" w:cs="Times New Roman"/>
          <w:sz w:val="24"/>
          <w:szCs w:val="24"/>
        </w:rPr>
        <w:t>2</w:t>
      </w:r>
      <w:r w:rsidR="00477495" w:rsidRPr="00600FF3">
        <w:rPr>
          <w:rFonts w:ascii="Times New Roman" w:hAnsi="Times New Roman" w:cs="Times New Roman"/>
          <w:sz w:val="24"/>
          <w:szCs w:val="24"/>
        </w:rPr>
        <w:t>2 FC 90210 at para 13</w:t>
      </w:r>
      <w:r w:rsidR="00E63B21" w:rsidRPr="00600FF3">
        <w:rPr>
          <w:rFonts w:ascii="Times New Roman" w:hAnsi="Times New Roman" w:cs="Times New Roman"/>
          <w:sz w:val="24"/>
          <w:szCs w:val="24"/>
        </w:rPr>
        <w:t xml:space="preserve"> [Okoro]. </w:t>
      </w:r>
    </w:p>
  </w:footnote>
  <w:footnote w:id="15">
    <w:p w14:paraId="42430F55" w14:textId="42597F7F" w:rsidR="002A32B0" w:rsidRPr="00600FF3" w:rsidRDefault="002A32B0" w:rsidP="002A32B0">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7E0ACC" w:rsidRPr="007E0ACC">
        <w:rPr>
          <w:rFonts w:ascii="Times New Roman" w:hAnsi="Times New Roman" w:cs="Times New Roman"/>
          <w:i/>
          <w:iCs/>
          <w:sz w:val="24"/>
          <w:szCs w:val="24"/>
        </w:rPr>
        <w:t>IRPA</w:t>
      </w:r>
      <w:r w:rsidRPr="00600FF3">
        <w:rPr>
          <w:rFonts w:ascii="Times New Roman" w:hAnsi="Times New Roman" w:cs="Times New Roman"/>
          <w:sz w:val="24"/>
          <w:szCs w:val="24"/>
        </w:rPr>
        <w:t xml:space="preserve">, </w:t>
      </w:r>
      <w:r w:rsidR="007110F6">
        <w:rPr>
          <w:rFonts w:ascii="Times New Roman" w:hAnsi="Times New Roman" w:cs="Times New Roman"/>
          <w:i/>
          <w:iCs/>
          <w:sz w:val="24"/>
          <w:szCs w:val="24"/>
        </w:rPr>
        <w:t>s</w:t>
      </w:r>
      <w:r w:rsidRPr="00600FF3">
        <w:rPr>
          <w:rFonts w:ascii="Times New Roman" w:hAnsi="Times New Roman" w:cs="Times New Roman"/>
          <w:i/>
          <w:iCs/>
          <w:sz w:val="24"/>
          <w:szCs w:val="24"/>
        </w:rPr>
        <w:t>upra</w:t>
      </w:r>
      <w:r w:rsidRPr="00600FF3">
        <w:rPr>
          <w:rFonts w:ascii="Times New Roman" w:hAnsi="Times New Roman" w:cs="Times New Roman"/>
          <w:sz w:val="24"/>
          <w:szCs w:val="24"/>
        </w:rPr>
        <w:t xml:space="preserve"> note 1</w:t>
      </w:r>
      <w:r w:rsidR="007110F6">
        <w:rPr>
          <w:rFonts w:ascii="Times New Roman" w:hAnsi="Times New Roman" w:cs="Times New Roman"/>
          <w:sz w:val="24"/>
          <w:szCs w:val="24"/>
        </w:rPr>
        <w:t xml:space="preserve"> </w:t>
      </w:r>
      <w:r w:rsidRPr="00600FF3">
        <w:rPr>
          <w:rFonts w:ascii="Times New Roman" w:hAnsi="Times New Roman" w:cs="Times New Roman"/>
          <w:sz w:val="24"/>
          <w:szCs w:val="24"/>
        </w:rPr>
        <w:t xml:space="preserve">s 170(g). </w:t>
      </w:r>
    </w:p>
  </w:footnote>
  <w:footnote w:id="16">
    <w:p w14:paraId="544B22F1" w14:textId="4C055F14" w:rsidR="009F6026" w:rsidRPr="009556CA" w:rsidRDefault="009F6026" w:rsidP="009F6026">
      <w:pPr>
        <w:pStyle w:val="FootnoteText"/>
        <w:rPr>
          <w:rFonts w:ascii="Times New Roman" w:hAnsi="Times New Roman" w:cs="Times New Roman"/>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Policy, Planning and Research Branch [Immigration and Refugee Board of Canada]. “Policy on the Treatment of Unsolicited Information in the Refugee Protection Division” (2016) Policy no. 2015-02 [</w:t>
      </w:r>
      <w:r w:rsidR="0093125B" w:rsidRPr="0093125B">
        <w:rPr>
          <w:rFonts w:ascii="Times New Roman" w:hAnsi="Times New Roman" w:cs="Times New Roman"/>
          <w:i/>
          <w:iCs/>
          <w:sz w:val="24"/>
          <w:szCs w:val="24"/>
        </w:rPr>
        <w:t>Unsolicited Information Policy</w:t>
      </w:r>
      <w:r w:rsidRPr="00600FF3">
        <w:rPr>
          <w:rFonts w:ascii="Times New Roman" w:hAnsi="Times New Roman" w:cs="Times New Roman"/>
          <w:sz w:val="24"/>
          <w:szCs w:val="24"/>
        </w:rPr>
        <w:t>].</w:t>
      </w:r>
      <w:r>
        <w:rPr>
          <w:rFonts w:ascii="Times New Roman" w:hAnsi="Times New Roman" w:cs="Times New Roman"/>
        </w:rPr>
        <w:t xml:space="preserve"> </w:t>
      </w:r>
    </w:p>
  </w:footnote>
  <w:footnote w:id="17">
    <w:p w14:paraId="39D9890B" w14:textId="4101C4DD" w:rsidR="00775E5E" w:rsidRPr="00600FF3" w:rsidRDefault="00775E5E" w:rsidP="00775E5E">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Ibid</w:t>
      </w:r>
      <w:r w:rsidR="00301691">
        <w:rPr>
          <w:rFonts w:ascii="Times New Roman" w:hAnsi="Times New Roman" w:cs="Times New Roman"/>
          <w:sz w:val="24"/>
          <w:szCs w:val="24"/>
        </w:rPr>
        <w:t>,</w:t>
      </w:r>
      <w:r w:rsidRPr="00600FF3">
        <w:rPr>
          <w:rFonts w:ascii="Times New Roman" w:hAnsi="Times New Roman" w:cs="Times New Roman"/>
          <w:i/>
          <w:iCs/>
          <w:sz w:val="24"/>
          <w:szCs w:val="24"/>
        </w:rPr>
        <w:t xml:space="preserve"> </w:t>
      </w:r>
      <w:r w:rsidRPr="00600FF3">
        <w:rPr>
          <w:rFonts w:ascii="Times New Roman" w:hAnsi="Times New Roman" w:cs="Times New Roman"/>
          <w:sz w:val="24"/>
          <w:szCs w:val="24"/>
        </w:rPr>
        <w:t>s 3.</w:t>
      </w:r>
    </w:p>
  </w:footnote>
  <w:footnote w:id="18">
    <w:p w14:paraId="48B7E221" w14:textId="1A0D00D6" w:rsidR="00521807" w:rsidRPr="00521807" w:rsidRDefault="00521807">
      <w:pPr>
        <w:pStyle w:val="FootnoteText"/>
        <w:rPr>
          <w:rFonts w:ascii="Times New Roman" w:hAnsi="Times New Roman" w:cs="Times New Roman"/>
          <w:sz w:val="24"/>
          <w:szCs w:val="24"/>
        </w:rPr>
      </w:pPr>
      <w:r w:rsidRPr="00521807">
        <w:rPr>
          <w:rStyle w:val="FootnoteReference"/>
          <w:rFonts w:ascii="Times New Roman" w:hAnsi="Times New Roman" w:cs="Times New Roman"/>
          <w:sz w:val="24"/>
          <w:szCs w:val="24"/>
        </w:rPr>
        <w:footnoteRef/>
      </w:r>
      <w:r w:rsidRPr="00521807">
        <w:rPr>
          <w:rFonts w:ascii="Times New Roman" w:hAnsi="Times New Roman" w:cs="Times New Roman"/>
          <w:sz w:val="24"/>
          <w:szCs w:val="24"/>
        </w:rPr>
        <w:t xml:space="preserve"> </w:t>
      </w:r>
      <w:r w:rsidR="007E0ACC" w:rsidRPr="007E0ACC">
        <w:rPr>
          <w:rFonts w:ascii="Times New Roman" w:hAnsi="Times New Roman" w:cs="Times New Roman"/>
          <w:i/>
          <w:iCs/>
          <w:sz w:val="24"/>
          <w:szCs w:val="24"/>
        </w:rPr>
        <w:t>IRPA</w:t>
      </w:r>
      <w:r w:rsidRPr="00521807">
        <w:rPr>
          <w:rFonts w:ascii="Times New Roman" w:hAnsi="Times New Roman" w:cs="Times New Roman"/>
          <w:i/>
          <w:iCs/>
          <w:sz w:val="24"/>
          <w:szCs w:val="24"/>
        </w:rPr>
        <w:t xml:space="preserve">, supra </w:t>
      </w:r>
      <w:r w:rsidRPr="00521807">
        <w:rPr>
          <w:rFonts w:ascii="Times New Roman" w:hAnsi="Times New Roman" w:cs="Times New Roman"/>
          <w:sz w:val="24"/>
          <w:szCs w:val="24"/>
        </w:rPr>
        <w:t>note 1</w:t>
      </w:r>
      <w:r w:rsidR="00502607">
        <w:rPr>
          <w:rFonts w:ascii="Times New Roman" w:hAnsi="Times New Roman" w:cs="Times New Roman"/>
          <w:sz w:val="24"/>
          <w:szCs w:val="24"/>
        </w:rPr>
        <w:t xml:space="preserve"> </w:t>
      </w:r>
      <w:r w:rsidRPr="00521807">
        <w:rPr>
          <w:rFonts w:ascii="Times New Roman" w:hAnsi="Times New Roman" w:cs="Times New Roman"/>
          <w:sz w:val="24"/>
          <w:szCs w:val="24"/>
        </w:rPr>
        <w:t xml:space="preserve">s 166(c). </w:t>
      </w:r>
    </w:p>
  </w:footnote>
  <w:footnote w:id="19">
    <w:p w14:paraId="18DA8A46" w14:textId="46B599F8" w:rsidR="001B11C6" w:rsidRPr="001B11C6" w:rsidRDefault="001B11C6">
      <w:pPr>
        <w:pStyle w:val="FootnoteText"/>
        <w:rPr>
          <w:rFonts w:ascii="Times New Roman" w:hAnsi="Times New Roman" w:cs="Times New Roman"/>
          <w:sz w:val="24"/>
          <w:szCs w:val="24"/>
        </w:rPr>
      </w:pPr>
      <w:r w:rsidRPr="001B11C6">
        <w:rPr>
          <w:rStyle w:val="FootnoteReference"/>
          <w:rFonts w:ascii="Times New Roman" w:hAnsi="Times New Roman" w:cs="Times New Roman"/>
          <w:sz w:val="24"/>
          <w:szCs w:val="24"/>
        </w:rPr>
        <w:footnoteRef/>
      </w:r>
      <w:r w:rsidRPr="001B11C6">
        <w:rPr>
          <w:rFonts w:ascii="Times New Roman" w:hAnsi="Times New Roman" w:cs="Times New Roman"/>
          <w:sz w:val="24"/>
          <w:szCs w:val="24"/>
        </w:rPr>
        <w:t xml:space="preserve"> </w:t>
      </w:r>
      <w:r w:rsidRPr="001B11C6">
        <w:rPr>
          <w:rFonts w:ascii="Times New Roman" w:hAnsi="Times New Roman" w:cs="Times New Roman"/>
          <w:i/>
          <w:iCs/>
          <w:sz w:val="24"/>
          <w:szCs w:val="24"/>
        </w:rPr>
        <w:t>Jemmo v Canada (Citizenship and Immigration)</w:t>
      </w:r>
      <w:r w:rsidRPr="001B11C6">
        <w:rPr>
          <w:rFonts w:ascii="Times New Roman" w:hAnsi="Times New Roman" w:cs="Times New Roman"/>
          <w:sz w:val="24"/>
          <w:szCs w:val="24"/>
        </w:rPr>
        <w:t>, 2021 FC 965 at para 17</w:t>
      </w:r>
      <w:r w:rsidR="0093125B">
        <w:rPr>
          <w:rFonts w:ascii="Times New Roman" w:hAnsi="Times New Roman" w:cs="Times New Roman"/>
          <w:sz w:val="24"/>
          <w:szCs w:val="24"/>
        </w:rPr>
        <w:t xml:space="preserve"> [</w:t>
      </w:r>
      <w:r w:rsidR="0093125B" w:rsidRPr="00221FAD">
        <w:rPr>
          <w:rFonts w:ascii="Times New Roman" w:hAnsi="Times New Roman" w:cs="Times New Roman"/>
          <w:i/>
          <w:iCs/>
          <w:sz w:val="24"/>
          <w:szCs w:val="24"/>
        </w:rPr>
        <w:t>Jemmo</w:t>
      </w:r>
      <w:r w:rsidR="0093125B">
        <w:rPr>
          <w:rFonts w:ascii="Times New Roman" w:hAnsi="Times New Roman" w:cs="Times New Roman"/>
          <w:sz w:val="24"/>
          <w:szCs w:val="24"/>
        </w:rPr>
        <w:t>]</w:t>
      </w:r>
    </w:p>
  </w:footnote>
  <w:footnote w:id="20">
    <w:p w14:paraId="77AB481B" w14:textId="7583883B" w:rsidR="00F226FB" w:rsidRPr="00600FF3" w:rsidRDefault="00F226FB" w:rsidP="00F226FB">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93125B" w:rsidRPr="00600FF3">
        <w:rPr>
          <w:rFonts w:ascii="Times New Roman" w:hAnsi="Times New Roman" w:cs="Times New Roman"/>
          <w:i/>
          <w:iCs/>
          <w:color w:val="222222"/>
          <w:sz w:val="24"/>
          <w:szCs w:val="24"/>
        </w:rPr>
        <w:t xml:space="preserve">Olah v Canada (Citizenship and Immigration), </w:t>
      </w:r>
      <w:r w:rsidR="0093125B" w:rsidRPr="00600FF3">
        <w:rPr>
          <w:rFonts w:ascii="Times New Roman" w:hAnsi="Times New Roman" w:cs="Times New Roman"/>
          <w:color w:val="222222"/>
          <w:sz w:val="24"/>
          <w:szCs w:val="24"/>
        </w:rPr>
        <w:t>2019 FC 401</w:t>
      </w:r>
      <w:r w:rsidR="0093125B">
        <w:rPr>
          <w:rFonts w:ascii="Times New Roman" w:hAnsi="Times New Roman" w:cs="Times New Roman"/>
          <w:color w:val="222222"/>
          <w:sz w:val="24"/>
          <w:szCs w:val="24"/>
        </w:rPr>
        <w:t xml:space="preserve"> at para 25</w:t>
      </w:r>
      <w:r w:rsidR="0093125B" w:rsidRPr="00600FF3">
        <w:rPr>
          <w:rFonts w:ascii="Times New Roman" w:hAnsi="Times New Roman" w:cs="Times New Roman"/>
          <w:color w:val="222222"/>
          <w:sz w:val="24"/>
          <w:szCs w:val="24"/>
        </w:rPr>
        <w:t xml:space="preserve"> [</w:t>
      </w:r>
      <w:r w:rsidR="0093125B" w:rsidRPr="00221FAD">
        <w:rPr>
          <w:rFonts w:ascii="Times New Roman" w:hAnsi="Times New Roman" w:cs="Times New Roman"/>
          <w:i/>
          <w:iCs/>
          <w:color w:val="222222"/>
          <w:sz w:val="24"/>
          <w:szCs w:val="24"/>
        </w:rPr>
        <w:t>Olah</w:t>
      </w:r>
      <w:r w:rsidR="0093125B" w:rsidRPr="00600FF3">
        <w:rPr>
          <w:rFonts w:ascii="Times New Roman" w:hAnsi="Times New Roman" w:cs="Times New Roman"/>
          <w:color w:val="222222"/>
          <w:sz w:val="24"/>
          <w:szCs w:val="24"/>
        </w:rPr>
        <w:t>].</w:t>
      </w:r>
      <w:r w:rsidRPr="00600FF3">
        <w:rPr>
          <w:rFonts w:ascii="Times New Roman" w:hAnsi="Times New Roman" w:cs="Times New Roman"/>
          <w:sz w:val="24"/>
          <w:szCs w:val="24"/>
        </w:rPr>
        <w:t xml:space="preserve"> </w:t>
      </w:r>
    </w:p>
  </w:footnote>
  <w:footnote w:id="21">
    <w:p w14:paraId="00FA3D9B" w14:textId="3D23F01D" w:rsidR="00F226FB" w:rsidRPr="00600FF3" w:rsidRDefault="00F226FB" w:rsidP="00F226FB">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992888">
        <w:rPr>
          <w:rFonts w:ascii="Times New Roman" w:hAnsi="Times New Roman" w:cs="Times New Roman"/>
          <w:i/>
          <w:iCs/>
          <w:sz w:val="24"/>
          <w:szCs w:val="24"/>
        </w:rPr>
        <w:t>Ibid.</w:t>
      </w:r>
      <w:r w:rsidRPr="00600FF3">
        <w:rPr>
          <w:rFonts w:ascii="Times New Roman" w:hAnsi="Times New Roman" w:cs="Times New Roman"/>
          <w:sz w:val="24"/>
          <w:szCs w:val="24"/>
        </w:rPr>
        <w:t xml:space="preserve"> </w:t>
      </w:r>
    </w:p>
  </w:footnote>
  <w:footnote w:id="22">
    <w:p w14:paraId="0FE78158" w14:textId="09EC1B34" w:rsidR="00FE37BF" w:rsidRPr="00DC1F6A" w:rsidRDefault="00FE37BF" w:rsidP="00FE37BF">
      <w:pPr>
        <w:pStyle w:val="FootnoteText"/>
        <w:rPr>
          <w:rFonts w:ascii="Times New Roman" w:hAnsi="Times New Roman" w:cs="Times New Roman"/>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FE37BF">
        <w:rPr>
          <w:rFonts w:ascii="Times New Roman" w:hAnsi="Times New Roman" w:cs="Times New Roman"/>
          <w:i/>
          <w:iCs/>
          <w:sz w:val="24"/>
          <w:szCs w:val="24"/>
        </w:rPr>
        <w:t>Unsolicited Information Policy</w:t>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supra</w:t>
      </w:r>
      <w:r w:rsidRPr="00600FF3">
        <w:rPr>
          <w:rFonts w:ascii="Times New Roman" w:hAnsi="Times New Roman" w:cs="Times New Roman"/>
          <w:sz w:val="24"/>
          <w:szCs w:val="24"/>
        </w:rPr>
        <w:t xml:space="preserve"> note 1</w:t>
      </w:r>
      <w:r w:rsidR="003C6F61">
        <w:rPr>
          <w:rFonts w:ascii="Times New Roman" w:hAnsi="Times New Roman" w:cs="Times New Roman"/>
          <w:sz w:val="24"/>
          <w:szCs w:val="24"/>
        </w:rPr>
        <w:t>6</w:t>
      </w:r>
      <w:r w:rsidRPr="00600FF3">
        <w:rPr>
          <w:rFonts w:ascii="Times New Roman" w:hAnsi="Times New Roman" w:cs="Times New Roman"/>
          <w:sz w:val="24"/>
          <w:szCs w:val="24"/>
        </w:rPr>
        <w:t>.</w:t>
      </w:r>
    </w:p>
  </w:footnote>
  <w:footnote w:id="23">
    <w:p w14:paraId="6467021B" w14:textId="46D8AD40" w:rsidR="009D240E" w:rsidRPr="00DF01F3" w:rsidRDefault="009D240E" w:rsidP="009D240E">
      <w:pPr>
        <w:pStyle w:val="FootnoteText"/>
        <w:rPr>
          <w:rFonts w:ascii="Times New Roman" w:hAnsi="Times New Roman" w:cs="Times New Roman"/>
          <w:sz w:val="24"/>
          <w:szCs w:val="24"/>
        </w:rPr>
      </w:pPr>
      <w:r w:rsidRPr="00DF01F3">
        <w:rPr>
          <w:rStyle w:val="FootnoteReference"/>
          <w:rFonts w:ascii="Times New Roman" w:hAnsi="Times New Roman" w:cs="Times New Roman"/>
          <w:sz w:val="24"/>
          <w:szCs w:val="24"/>
        </w:rPr>
        <w:footnoteRef/>
      </w:r>
      <w:r w:rsidRPr="00DF01F3">
        <w:rPr>
          <w:rFonts w:ascii="Times New Roman" w:hAnsi="Times New Roman" w:cs="Times New Roman"/>
          <w:sz w:val="24"/>
          <w:szCs w:val="24"/>
        </w:rPr>
        <w:t xml:space="preserve"> </w:t>
      </w:r>
      <w:r>
        <w:rPr>
          <w:rFonts w:ascii="Times New Roman" w:hAnsi="Times New Roman" w:cs="Times New Roman"/>
          <w:i/>
          <w:iCs/>
          <w:sz w:val="24"/>
          <w:szCs w:val="24"/>
        </w:rPr>
        <w:t>R</w:t>
      </w:r>
      <w:r w:rsidR="003C6F61">
        <w:rPr>
          <w:rFonts w:ascii="Times New Roman" w:hAnsi="Times New Roman" w:cs="Times New Roman"/>
          <w:i/>
          <w:iCs/>
          <w:sz w:val="24"/>
          <w:szCs w:val="24"/>
        </w:rPr>
        <w:t>PD Reasons</w:t>
      </w:r>
      <w:r>
        <w:rPr>
          <w:rFonts w:ascii="Times New Roman" w:hAnsi="Times New Roman" w:cs="Times New Roman"/>
          <w:i/>
          <w:iCs/>
          <w:sz w:val="24"/>
          <w:szCs w:val="24"/>
        </w:rPr>
        <w:t>,</w:t>
      </w:r>
      <w:r w:rsidR="003C6F61">
        <w:rPr>
          <w:rFonts w:ascii="Times New Roman" w:hAnsi="Times New Roman" w:cs="Times New Roman"/>
          <w:i/>
          <w:iCs/>
          <w:sz w:val="24"/>
          <w:szCs w:val="24"/>
        </w:rPr>
        <w:t xml:space="preserve"> supra</w:t>
      </w:r>
      <w:r>
        <w:rPr>
          <w:rFonts w:ascii="Times New Roman" w:hAnsi="Times New Roman" w:cs="Times New Roman"/>
          <w:i/>
          <w:iCs/>
          <w:sz w:val="24"/>
          <w:szCs w:val="24"/>
        </w:rPr>
        <w:t xml:space="preserve"> </w:t>
      </w:r>
      <w:r w:rsidR="003C6F61">
        <w:rPr>
          <w:rFonts w:ascii="Times New Roman" w:hAnsi="Times New Roman" w:cs="Times New Roman"/>
          <w:sz w:val="24"/>
          <w:szCs w:val="24"/>
        </w:rPr>
        <w:t xml:space="preserve">note 4 at para 21. </w:t>
      </w:r>
    </w:p>
  </w:footnote>
  <w:footnote w:id="24">
    <w:p w14:paraId="04F9C70A" w14:textId="35612A9B" w:rsidR="0030368A" w:rsidRPr="0030368A" w:rsidRDefault="0030368A">
      <w:pPr>
        <w:pStyle w:val="FootnoteText"/>
        <w:rPr>
          <w:rFonts w:ascii="Times New Roman" w:hAnsi="Times New Roman" w:cs="Times New Roman"/>
          <w:i/>
          <w:iCs/>
          <w:sz w:val="24"/>
          <w:szCs w:val="24"/>
        </w:rPr>
      </w:pPr>
      <w:r w:rsidRPr="0030368A">
        <w:rPr>
          <w:rStyle w:val="FootnoteReference"/>
          <w:rFonts w:ascii="Times New Roman" w:hAnsi="Times New Roman" w:cs="Times New Roman"/>
          <w:sz w:val="24"/>
          <w:szCs w:val="24"/>
        </w:rPr>
        <w:footnoteRef/>
      </w:r>
      <w:r w:rsidRPr="0030368A">
        <w:rPr>
          <w:rFonts w:ascii="Times New Roman" w:hAnsi="Times New Roman" w:cs="Times New Roman"/>
          <w:sz w:val="24"/>
          <w:szCs w:val="24"/>
        </w:rPr>
        <w:t xml:space="preserve"> </w:t>
      </w:r>
      <w:r w:rsidRPr="0030368A">
        <w:rPr>
          <w:rFonts w:ascii="Times New Roman" w:hAnsi="Times New Roman" w:cs="Times New Roman"/>
          <w:i/>
          <w:iCs/>
          <w:sz w:val="24"/>
          <w:szCs w:val="24"/>
        </w:rPr>
        <w:t xml:space="preserve">Ibid. </w:t>
      </w:r>
    </w:p>
  </w:footnote>
  <w:footnote w:id="25">
    <w:p w14:paraId="3CCB7240" w14:textId="0E90D332" w:rsidR="00AB56F2" w:rsidRPr="00887439" w:rsidRDefault="00AB56F2">
      <w:pPr>
        <w:pStyle w:val="FootnoteText"/>
        <w:rPr>
          <w:rFonts w:ascii="Times New Roman" w:hAnsi="Times New Roman" w:cs="Times New Roman"/>
          <w:sz w:val="24"/>
          <w:szCs w:val="24"/>
        </w:rPr>
      </w:pPr>
      <w:r w:rsidRPr="00887439">
        <w:rPr>
          <w:rStyle w:val="FootnoteReference"/>
          <w:rFonts w:ascii="Times New Roman" w:hAnsi="Times New Roman" w:cs="Times New Roman"/>
          <w:sz w:val="24"/>
          <w:szCs w:val="24"/>
        </w:rPr>
        <w:footnoteRef/>
      </w:r>
      <w:r w:rsidRPr="00887439">
        <w:rPr>
          <w:rFonts w:ascii="Times New Roman" w:hAnsi="Times New Roman" w:cs="Times New Roman"/>
          <w:sz w:val="24"/>
          <w:szCs w:val="24"/>
        </w:rPr>
        <w:t xml:space="preserve"> </w:t>
      </w:r>
      <w:r w:rsidR="00B56984" w:rsidRPr="00887439">
        <w:rPr>
          <w:rFonts w:ascii="Times New Roman" w:hAnsi="Times New Roman" w:cs="Times New Roman"/>
          <w:i/>
          <w:iCs/>
          <w:sz w:val="24"/>
          <w:szCs w:val="24"/>
        </w:rPr>
        <w:t xml:space="preserve">RPD </w:t>
      </w:r>
      <w:r w:rsidR="003C6F61" w:rsidRPr="00887439">
        <w:rPr>
          <w:rFonts w:ascii="Times New Roman" w:hAnsi="Times New Roman" w:cs="Times New Roman"/>
          <w:i/>
          <w:iCs/>
          <w:sz w:val="24"/>
          <w:szCs w:val="24"/>
        </w:rPr>
        <w:t>Reasons</w:t>
      </w:r>
      <w:r w:rsidR="00B56984" w:rsidRPr="00887439">
        <w:rPr>
          <w:rFonts w:ascii="Times New Roman" w:hAnsi="Times New Roman" w:cs="Times New Roman"/>
          <w:i/>
          <w:iCs/>
          <w:sz w:val="24"/>
          <w:szCs w:val="24"/>
        </w:rPr>
        <w:t>, supra</w:t>
      </w:r>
      <w:r w:rsidR="00B56984" w:rsidRPr="00887439">
        <w:rPr>
          <w:rFonts w:ascii="Times New Roman" w:hAnsi="Times New Roman" w:cs="Times New Roman"/>
          <w:sz w:val="24"/>
          <w:szCs w:val="24"/>
        </w:rPr>
        <w:t xml:space="preserve"> note </w:t>
      </w:r>
      <w:r w:rsidR="003C6F61" w:rsidRPr="00887439">
        <w:rPr>
          <w:rFonts w:ascii="Times New Roman" w:hAnsi="Times New Roman" w:cs="Times New Roman"/>
          <w:sz w:val="24"/>
          <w:szCs w:val="24"/>
        </w:rPr>
        <w:t>4</w:t>
      </w:r>
      <w:r w:rsidR="00B56984" w:rsidRPr="00887439">
        <w:rPr>
          <w:rFonts w:ascii="Times New Roman" w:hAnsi="Times New Roman" w:cs="Times New Roman"/>
          <w:sz w:val="24"/>
          <w:szCs w:val="24"/>
        </w:rPr>
        <w:t xml:space="preserve"> at para 28. </w:t>
      </w:r>
    </w:p>
  </w:footnote>
  <w:footnote w:id="26">
    <w:p w14:paraId="08413110" w14:textId="38F3209D" w:rsidR="00AB56F2" w:rsidRPr="00B56984" w:rsidRDefault="00AB56F2">
      <w:pPr>
        <w:pStyle w:val="FootnoteText"/>
      </w:pPr>
      <w:r w:rsidRPr="00887439">
        <w:rPr>
          <w:rStyle w:val="FootnoteReference"/>
          <w:rFonts w:ascii="Times New Roman" w:hAnsi="Times New Roman" w:cs="Times New Roman"/>
          <w:sz w:val="24"/>
          <w:szCs w:val="24"/>
        </w:rPr>
        <w:footnoteRef/>
      </w:r>
      <w:r w:rsidRPr="00887439">
        <w:rPr>
          <w:rFonts w:ascii="Times New Roman" w:hAnsi="Times New Roman" w:cs="Times New Roman"/>
          <w:sz w:val="24"/>
          <w:szCs w:val="24"/>
        </w:rPr>
        <w:t xml:space="preserve"> </w:t>
      </w:r>
      <w:r w:rsidR="00B56984" w:rsidRPr="00887439">
        <w:rPr>
          <w:rFonts w:ascii="Times New Roman" w:hAnsi="Times New Roman" w:cs="Times New Roman"/>
          <w:i/>
          <w:iCs/>
          <w:sz w:val="24"/>
          <w:szCs w:val="24"/>
        </w:rPr>
        <w:t>Okoro, supra</w:t>
      </w:r>
      <w:r w:rsidR="00B56984" w:rsidRPr="00887439">
        <w:rPr>
          <w:rFonts w:ascii="Times New Roman" w:hAnsi="Times New Roman" w:cs="Times New Roman"/>
          <w:sz w:val="24"/>
          <w:szCs w:val="24"/>
        </w:rPr>
        <w:t xml:space="preserve"> note 1</w:t>
      </w:r>
      <w:r w:rsidR="003C6F61" w:rsidRPr="00887439">
        <w:rPr>
          <w:rFonts w:ascii="Times New Roman" w:hAnsi="Times New Roman" w:cs="Times New Roman"/>
          <w:sz w:val="24"/>
          <w:szCs w:val="24"/>
        </w:rPr>
        <w:t>4</w:t>
      </w:r>
      <w:r w:rsidR="00B56984" w:rsidRPr="00887439">
        <w:rPr>
          <w:rFonts w:ascii="Times New Roman" w:hAnsi="Times New Roman" w:cs="Times New Roman"/>
          <w:sz w:val="24"/>
          <w:szCs w:val="24"/>
        </w:rPr>
        <w:t xml:space="preserve"> at para 24.</w:t>
      </w:r>
      <w:r w:rsidR="00B56984">
        <w:rPr>
          <w:rFonts w:ascii="Times New Roman" w:hAnsi="Times New Roman" w:cs="Times New Roman"/>
        </w:rPr>
        <w:t xml:space="preserve"> </w:t>
      </w:r>
    </w:p>
  </w:footnote>
  <w:footnote w:id="27">
    <w:p w14:paraId="1D9ED3E5" w14:textId="71BFBAD5" w:rsidR="00FE37BF" w:rsidRPr="00600FF3" w:rsidRDefault="00FE37BF" w:rsidP="00FE37BF">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36726F">
        <w:rPr>
          <w:rFonts w:ascii="Times New Roman" w:hAnsi="Times New Roman" w:cs="Times New Roman"/>
          <w:sz w:val="24"/>
          <w:szCs w:val="24"/>
        </w:rPr>
        <w:t xml:space="preserve">See </w:t>
      </w:r>
      <w:r w:rsidRPr="00600FF3">
        <w:rPr>
          <w:rFonts w:ascii="Times New Roman" w:hAnsi="Times New Roman" w:cs="Times New Roman"/>
          <w:i/>
          <w:iCs/>
          <w:color w:val="222222"/>
          <w:sz w:val="24"/>
          <w:szCs w:val="24"/>
        </w:rPr>
        <w:t xml:space="preserve">Fong v Canada (Public Safety and Emergency Preparedness), 2010 FC 1134 </w:t>
      </w:r>
      <w:r w:rsidR="0036726F">
        <w:rPr>
          <w:rFonts w:ascii="Times New Roman" w:hAnsi="Times New Roman" w:cs="Times New Roman"/>
          <w:color w:val="222222"/>
          <w:sz w:val="24"/>
          <w:szCs w:val="24"/>
        </w:rPr>
        <w:t>[</w:t>
      </w:r>
      <w:r w:rsidRPr="00600FF3">
        <w:rPr>
          <w:rFonts w:ascii="Times New Roman" w:hAnsi="Times New Roman" w:cs="Times New Roman"/>
          <w:i/>
          <w:iCs/>
          <w:color w:val="222222"/>
          <w:sz w:val="24"/>
          <w:szCs w:val="24"/>
        </w:rPr>
        <w:t>Fong</w:t>
      </w:r>
      <w:r w:rsidRPr="00600FF3">
        <w:rPr>
          <w:rFonts w:ascii="Times New Roman" w:hAnsi="Times New Roman" w:cs="Times New Roman"/>
          <w:color w:val="222222"/>
          <w:sz w:val="24"/>
          <w:szCs w:val="24"/>
        </w:rPr>
        <w:t xml:space="preserve">]. </w:t>
      </w:r>
    </w:p>
  </w:footnote>
  <w:footnote w:id="28">
    <w:p w14:paraId="36D735C5" w14:textId="6702CEB3" w:rsidR="00F226FB" w:rsidRPr="00DC3DEB" w:rsidRDefault="00F226FB" w:rsidP="00F226FB">
      <w:pPr>
        <w:pStyle w:val="FootnoteText"/>
        <w:rPr>
          <w:rFonts w:ascii="Times New Roman" w:hAnsi="Times New Roman" w:cs="Times New Roman"/>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Ibid </w:t>
      </w:r>
      <w:r w:rsidRPr="00600FF3">
        <w:rPr>
          <w:rFonts w:ascii="Times New Roman" w:hAnsi="Times New Roman" w:cs="Times New Roman"/>
          <w:sz w:val="24"/>
          <w:szCs w:val="24"/>
        </w:rPr>
        <w:t>at para 13.</w:t>
      </w:r>
    </w:p>
  </w:footnote>
  <w:footnote w:id="29">
    <w:p w14:paraId="79368953" w14:textId="71E77187" w:rsidR="00F226FB" w:rsidRPr="00600FF3" w:rsidRDefault="00F226FB" w:rsidP="00F226FB">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004E7F" w:rsidRPr="00004E7F">
        <w:rPr>
          <w:rFonts w:ascii="Times New Roman" w:hAnsi="Times New Roman" w:cs="Times New Roman"/>
          <w:i/>
          <w:iCs/>
          <w:sz w:val="24"/>
          <w:szCs w:val="24"/>
        </w:rPr>
        <w:t xml:space="preserve">Fong, supra </w:t>
      </w:r>
      <w:r w:rsidR="00004E7F" w:rsidRPr="00004E7F">
        <w:rPr>
          <w:rFonts w:ascii="Times New Roman" w:hAnsi="Times New Roman" w:cs="Times New Roman"/>
          <w:sz w:val="24"/>
          <w:szCs w:val="24"/>
        </w:rPr>
        <w:t>note</w:t>
      </w:r>
      <w:r w:rsidR="00004E7F">
        <w:rPr>
          <w:rFonts w:ascii="Times New Roman" w:hAnsi="Times New Roman" w:cs="Times New Roman"/>
          <w:sz w:val="24"/>
          <w:szCs w:val="24"/>
        </w:rPr>
        <w:t xml:space="preserve"> 2</w:t>
      </w:r>
      <w:r w:rsidR="003C6F61">
        <w:rPr>
          <w:rFonts w:ascii="Times New Roman" w:hAnsi="Times New Roman" w:cs="Times New Roman"/>
          <w:sz w:val="24"/>
          <w:szCs w:val="24"/>
        </w:rPr>
        <w:t>7</w:t>
      </w:r>
      <w:r w:rsidR="00004E7F">
        <w:rPr>
          <w:rFonts w:ascii="Times New Roman" w:hAnsi="Times New Roman" w:cs="Times New Roman"/>
          <w:sz w:val="24"/>
          <w:szCs w:val="24"/>
        </w:rPr>
        <w:t xml:space="preserve"> </w:t>
      </w:r>
      <w:r w:rsidRPr="00600FF3">
        <w:rPr>
          <w:rFonts w:ascii="Times New Roman" w:hAnsi="Times New Roman" w:cs="Times New Roman"/>
          <w:sz w:val="24"/>
          <w:szCs w:val="24"/>
        </w:rPr>
        <w:t xml:space="preserve">at para 21. </w:t>
      </w:r>
    </w:p>
  </w:footnote>
  <w:footnote w:id="30">
    <w:p w14:paraId="3C3F2F49" w14:textId="77777777" w:rsidR="00F226FB" w:rsidRPr="00600FF3" w:rsidRDefault="00F226FB" w:rsidP="00F226FB">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Ibid </w:t>
      </w:r>
      <w:r w:rsidRPr="00600FF3">
        <w:rPr>
          <w:rFonts w:ascii="Times New Roman" w:hAnsi="Times New Roman" w:cs="Times New Roman"/>
          <w:sz w:val="24"/>
          <w:szCs w:val="24"/>
        </w:rPr>
        <w:t xml:space="preserve">at para 25. </w:t>
      </w:r>
    </w:p>
  </w:footnote>
  <w:footnote w:id="31">
    <w:p w14:paraId="5F05E05B" w14:textId="0B39EE7A" w:rsidR="00F226FB" w:rsidRPr="00600FF3" w:rsidRDefault="00F226FB" w:rsidP="00F226FB">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Ibid</w:t>
      </w:r>
      <w:r w:rsidRPr="00600FF3">
        <w:rPr>
          <w:rFonts w:ascii="Times New Roman" w:hAnsi="Times New Roman" w:cs="Times New Roman"/>
          <w:sz w:val="24"/>
          <w:szCs w:val="24"/>
        </w:rPr>
        <w:t xml:space="preserve">. </w:t>
      </w:r>
    </w:p>
  </w:footnote>
  <w:footnote w:id="32">
    <w:p w14:paraId="7F7CDEEB" w14:textId="18549CC9" w:rsidR="00F226FB" w:rsidRPr="00600FF3" w:rsidRDefault="00F226FB" w:rsidP="00F226FB">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C718E0">
        <w:rPr>
          <w:rFonts w:ascii="Times New Roman" w:hAnsi="Times New Roman" w:cs="Times New Roman"/>
          <w:i/>
          <w:iCs/>
          <w:sz w:val="24"/>
          <w:szCs w:val="24"/>
        </w:rPr>
        <w:t xml:space="preserve">RPD </w:t>
      </w:r>
      <w:r w:rsidR="003C6F61">
        <w:rPr>
          <w:rFonts w:ascii="Times New Roman" w:hAnsi="Times New Roman" w:cs="Times New Roman"/>
          <w:i/>
          <w:iCs/>
          <w:sz w:val="24"/>
          <w:szCs w:val="24"/>
        </w:rPr>
        <w:t>Reasons</w:t>
      </w:r>
      <w:r w:rsidR="00C718E0">
        <w:rPr>
          <w:rFonts w:ascii="Times New Roman" w:hAnsi="Times New Roman" w:cs="Times New Roman"/>
          <w:i/>
          <w:iCs/>
          <w:sz w:val="24"/>
          <w:szCs w:val="24"/>
        </w:rPr>
        <w:t>, supra</w:t>
      </w:r>
      <w:r w:rsidR="00C718E0">
        <w:rPr>
          <w:rFonts w:ascii="Times New Roman" w:hAnsi="Times New Roman" w:cs="Times New Roman"/>
          <w:sz w:val="24"/>
          <w:szCs w:val="24"/>
        </w:rPr>
        <w:t xml:space="preserve"> note </w:t>
      </w:r>
      <w:r w:rsidR="003C6F61">
        <w:rPr>
          <w:rFonts w:ascii="Times New Roman" w:hAnsi="Times New Roman" w:cs="Times New Roman"/>
          <w:sz w:val="24"/>
          <w:szCs w:val="24"/>
        </w:rPr>
        <w:t>4</w:t>
      </w:r>
      <w:r w:rsidRPr="00600FF3">
        <w:rPr>
          <w:rFonts w:ascii="Times New Roman" w:hAnsi="Times New Roman" w:cs="Times New Roman"/>
          <w:sz w:val="24"/>
          <w:szCs w:val="24"/>
        </w:rPr>
        <w:t xml:space="preserve"> at para 41.  </w:t>
      </w:r>
    </w:p>
  </w:footnote>
  <w:footnote w:id="33">
    <w:p w14:paraId="7480D1BB" w14:textId="4532FDF9" w:rsidR="00F226FB" w:rsidRPr="00DC1F6A" w:rsidRDefault="00F226FB" w:rsidP="00F226FB">
      <w:pPr>
        <w:pStyle w:val="FootnoteText"/>
        <w:rPr>
          <w:rFonts w:ascii="Times New Roman" w:hAnsi="Times New Roman" w:cs="Times New Roman"/>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Ibid</w:t>
      </w:r>
      <w:r w:rsidR="00262FAD" w:rsidRPr="00600FF3">
        <w:rPr>
          <w:rFonts w:ascii="Times New Roman" w:hAnsi="Times New Roman" w:cs="Times New Roman"/>
          <w:i/>
          <w:iCs/>
          <w:sz w:val="24"/>
          <w:szCs w:val="24"/>
        </w:rPr>
        <w:t>.</w:t>
      </w:r>
    </w:p>
  </w:footnote>
  <w:footnote w:id="34">
    <w:p w14:paraId="13CC06EA" w14:textId="639E45C1" w:rsidR="00451B4A" w:rsidRPr="00600FF3" w:rsidRDefault="00451B4A" w:rsidP="00451B4A">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Vavilov</w:t>
      </w:r>
      <w:r w:rsidRPr="00600FF3">
        <w:rPr>
          <w:rFonts w:ascii="Times New Roman" w:hAnsi="Times New Roman" w:cs="Times New Roman"/>
          <w:sz w:val="24"/>
          <w:szCs w:val="24"/>
        </w:rPr>
        <w:t>, s</w:t>
      </w:r>
      <w:r w:rsidRPr="00600FF3">
        <w:rPr>
          <w:rFonts w:ascii="Times New Roman" w:hAnsi="Times New Roman" w:cs="Times New Roman"/>
          <w:i/>
          <w:iCs/>
          <w:sz w:val="24"/>
          <w:szCs w:val="24"/>
        </w:rPr>
        <w:t xml:space="preserve">upra </w:t>
      </w:r>
      <w:r w:rsidRPr="00600FF3">
        <w:rPr>
          <w:rFonts w:ascii="Times New Roman" w:hAnsi="Times New Roman" w:cs="Times New Roman"/>
          <w:sz w:val="24"/>
          <w:szCs w:val="24"/>
        </w:rPr>
        <w:t xml:space="preserve">note </w:t>
      </w:r>
      <w:r w:rsidR="004506A0">
        <w:rPr>
          <w:rFonts w:ascii="Times New Roman" w:hAnsi="Times New Roman" w:cs="Times New Roman"/>
          <w:sz w:val="24"/>
          <w:szCs w:val="24"/>
        </w:rPr>
        <w:t>8</w:t>
      </w:r>
      <w:r w:rsidR="00502607">
        <w:rPr>
          <w:rFonts w:ascii="Times New Roman" w:hAnsi="Times New Roman" w:cs="Times New Roman"/>
          <w:sz w:val="24"/>
          <w:szCs w:val="24"/>
        </w:rPr>
        <w:t xml:space="preserve"> </w:t>
      </w:r>
      <w:r w:rsidRPr="00600FF3">
        <w:rPr>
          <w:rFonts w:ascii="Times New Roman" w:hAnsi="Times New Roman" w:cs="Times New Roman"/>
          <w:sz w:val="24"/>
          <w:szCs w:val="24"/>
        </w:rPr>
        <w:t>at paras 102-105</w:t>
      </w:r>
      <w:r w:rsidR="005714F8">
        <w:rPr>
          <w:rFonts w:ascii="Times New Roman" w:hAnsi="Times New Roman" w:cs="Times New Roman"/>
          <w:sz w:val="24"/>
          <w:szCs w:val="24"/>
        </w:rPr>
        <w:t xml:space="preserve">. </w:t>
      </w:r>
    </w:p>
  </w:footnote>
  <w:footnote w:id="35">
    <w:p w14:paraId="1532036C" w14:textId="0CFB20B4" w:rsidR="00451B4A" w:rsidRPr="00600FF3" w:rsidRDefault="00451B4A" w:rsidP="00451B4A">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Gomez Florez </w:t>
      </w:r>
      <w:r w:rsidR="00F533D0">
        <w:rPr>
          <w:rFonts w:ascii="Times New Roman" w:hAnsi="Times New Roman" w:cs="Times New Roman"/>
          <w:i/>
          <w:iCs/>
          <w:sz w:val="24"/>
          <w:szCs w:val="24"/>
        </w:rPr>
        <w:t>v</w:t>
      </w:r>
      <w:r w:rsidRPr="00600FF3">
        <w:rPr>
          <w:rFonts w:ascii="Times New Roman" w:hAnsi="Times New Roman" w:cs="Times New Roman"/>
          <w:i/>
          <w:iCs/>
          <w:sz w:val="24"/>
          <w:szCs w:val="24"/>
        </w:rPr>
        <w:t xml:space="preserve"> Canada (Citizenship and Immigration), </w:t>
      </w:r>
      <w:r w:rsidRPr="00600FF3">
        <w:rPr>
          <w:rFonts w:ascii="Times New Roman" w:hAnsi="Times New Roman" w:cs="Times New Roman"/>
          <w:sz w:val="24"/>
          <w:szCs w:val="24"/>
        </w:rPr>
        <w:t>2016 FC 659 at para 23 [</w:t>
      </w:r>
      <w:r w:rsidRPr="00600FF3">
        <w:rPr>
          <w:rFonts w:ascii="Times New Roman" w:hAnsi="Times New Roman" w:cs="Times New Roman"/>
          <w:i/>
          <w:iCs/>
          <w:sz w:val="24"/>
          <w:szCs w:val="24"/>
        </w:rPr>
        <w:t>Gomez</w:t>
      </w:r>
      <w:r w:rsidRPr="00600FF3">
        <w:rPr>
          <w:rFonts w:ascii="Times New Roman" w:hAnsi="Times New Roman" w:cs="Times New Roman"/>
          <w:sz w:val="24"/>
          <w:szCs w:val="24"/>
        </w:rPr>
        <w:t>].</w:t>
      </w:r>
    </w:p>
  </w:footnote>
  <w:footnote w:id="36">
    <w:p w14:paraId="3AB9F37E" w14:textId="19225A35" w:rsidR="00451B4A" w:rsidRPr="00600FF3" w:rsidRDefault="00451B4A" w:rsidP="00451B4A">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Gjeta v Canada (Citizenship and Immigration), </w:t>
      </w:r>
      <w:r w:rsidRPr="00600FF3">
        <w:rPr>
          <w:rFonts w:ascii="Times New Roman" w:hAnsi="Times New Roman" w:cs="Times New Roman"/>
          <w:sz w:val="24"/>
          <w:szCs w:val="24"/>
        </w:rPr>
        <w:t>2019 FC 52 at para 31 [</w:t>
      </w:r>
      <w:r w:rsidRPr="00600FF3">
        <w:rPr>
          <w:rFonts w:ascii="Times New Roman" w:hAnsi="Times New Roman" w:cs="Times New Roman"/>
          <w:i/>
          <w:iCs/>
          <w:sz w:val="24"/>
          <w:szCs w:val="24"/>
        </w:rPr>
        <w:t>Gjeta</w:t>
      </w:r>
      <w:r w:rsidRPr="00600FF3">
        <w:rPr>
          <w:rFonts w:ascii="Times New Roman" w:hAnsi="Times New Roman" w:cs="Times New Roman"/>
          <w:sz w:val="24"/>
          <w:szCs w:val="24"/>
        </w:rPr>
        <w:t xml:space="preserve">]. </w:t>
      </w:r>
    </w:p>
  </w:footnote>
  <w:footnote w:id="37">
    <w:p w14:paraId="0ABEF787" w14:textId="77777777" w:rsidR="00451B4A" w:rsidRPr="00DC3DEB" w:rsidRDefault="00451B4A" w:rsidP="00451B4A">
      <w:pPr>
        <w:pStyle w:val="FootnoteText"/>
        <w:rPr>
          <w:rFonts w:ascii="Times New Roman" w:hAnsi="Times New Roman" w:cs="Times New Roman"/>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Mojico Romo v Canada (Minister of Citizenship and Immigration), </w:t>
      </w:r>
      <w:r w:rsidRPr="00600FF3">
        <w:rPr>
          <w:rFonts w:ascii="Times New Roman" w:hAnsi="Times New Roman" w:cs="Times New Roman"/>
          <w:sz w:val="24"/>
          <w:szCs w:val="24"/>
        </w:rPr>
        <w:t>2006 FC 543</w:t>
      </w:r>
      <w:r w:rsidRPr="00600FF3">
        <w:rPr>
          <w:rFonts w:ascii="Times New Roman" w:hAnsi="Times New Roman" w:cs="Times New Roman"/>
          <w:i/>
          <w:iCs/>
          <w:sz w:val="24"/>
          <w:szCs w:val="24"/>
        </w:rPr>
        <w:t xml:space="preserve"> </w:t>
      </w:r>
      <w:r w:rsidRPr="00600FF3">
        <w:rPr>
          <w:rFonts w:ascii="Times New Roman" w:hAnsi="Times New Roman" w:cs="Times New Roman"/>
          <w:sz w:val="24"/>
          <w:szCs w:val="24"/>
        </w:rPr>
        <w:t>at para 16 [</w:t>
      </w:r>
      <w:r w:rsidRPr="00600FF3">
        <w:rPr>
          <w:rFonts w:ascii="Times New Roman" w:hAnsi="Times New Roman" w:cs="Times New Roman"/>
          <w:i/>
          <w:iCs/>
          <w:sz w:val="24"/>
          <w:szCs w:val="24"/>
        </w:rPr>
        <w:t>Mojico Romo</w:t>
      </w:r>
      <w:r w:rsidRPr="00600FF3">
        <w:rPr>
          <w:rFonts w:ascii="Times New Roman" w:hAnsi="Times New Roman" w:cs="Times New Roman"/>
          <w:sz w:val="24"/>
          <w:szCs w:val="24"/>
        </w:rPr>
        <w:t>].</w:t>
      </w:r>
      <w:r w:rsidRPr="00DC3DEB">
        <w:rPr>
          <w:rFonts w:ascii="Times New Roman" w:hAnsi="Times New Roman" w:cs="Times New Roman"/>
        </w:rPr>
        <w:t xml:space="preserve"> </w:t>
      </w:r>
    </w:p>
  </w:footnote>
  <w:footnote w:id="38">
    <w:p w14:paraId="5B2AA5D9" w14:textId="2F0AE89A" w:rsidR="00451B4A" w:rsidRPr="00600FF3" w:rsidRDefault="00451B4A" w:rsidP="00451B4A">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RPD</w:t>
      </w:r>
      <w:r w:rsidR="001454CE" w:rsidRPr="00600FF3">
        <w:rPr>
          <w:rFonts w:ascii="Times New Roman" w:hAnsi="Times New Roman" w:cs="Times New Roman"/>
          <w:i/>
          <w:iCs/>
          <w:sz w:val="24"/>
          <w:szCs w:val="24"/>
        </w:rPr>
        <w:t xml:space="preserve"> </w:t>
      </w:r>
      <w:r w:rsidR="004506A0">
        <w:rPr>
          <w:rFonts w:ascii="Times New Roman" w:hAnsi="Times New Roman" w:cs="Times New Roman"/>
          <w:i/>
          <w:iCs/>
          <w:sz w:val="24"/>
          <w:szCs w:val="24"/>
        </w:rPr>
        <w:t>Reasons</w:t>
      </w:r>
      <w:r w:rsidRPr="00600FF3">
        <w:rPr>
          <w:rFonts w:ascii="Times New Roman" w:hAnsi="Times New Roman" w:cs="Times New Roman"/>
          <w:sz w:val="24"/>
          <w:szCs w:val="24"/>
        </w:rPr>
        <w:t>, s</w:t>
      </w:r>
      <w:r w:rsidRPr="00600FF3">
        <w:rPr>
          <w:rFonts w:ascii="Times New Roman" w:hAnsi="Times New Roman" w:cs="Times New Roman"/>
          <w:i/>
          <w:iCs/>
          <w:sz w:val="24"/>
          <w:szCs w:val="24"/>
        </w:rPr>
        <w:t>upra</w:t>
      </w:r>
      <w:r w:rsidRPr="00600FF3">
        <w:rPr>
          <w:rFonts w:ascii="Times New Roman" w:hAnsi="Times New Roman" w:cs="Times New Roman"/>
          <w:sz w:val="24"/>
          <w:szCs w:val="24"/>
        </w:rPr>
        <w:t xml:space="preserve"> note </w:t>
      </w:r>
      <w:r w:rsidR="004506A0">
        <w:rPr>
          <w:rFonts w:ascii="Times New Roman" w:hAnsi="Times New Roman" w:cs="Times New Roman"/>
          <w:sz w:val="24"/>
          <w:szCs w:val="24"/>
        </w:rPr>
        <w:t>4</w:t>
      </w:r>
      <w:r w:rsidRPr="00600FF3">
        <w:rPr>
          <w:rFonts w:ascii="Times New Roman" w:hAnsi="Times New Roman" w:cs="Times New Roman"/>
          <w:sz w:val="24"/>
          <w:szCs w:val="24"/>
        </w:rPr>
        <w:t xml:space="preserve"> at para 17. </w:t>
      </w:r>
    </w:p>
  </w:footnote>
  <w:footnote w:id="39">
    <w:p w14:paraId="0E294B54" w14:textId="5D308060" w:rsidR="00451B4A" w:rsidRPr="00600FF3" w:rsidRDefault="00451B4A" w:rsidP="00451B4A">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346B3E" w:rsidRPr="0093125B">
        <w:rPr>
          <w:rFonts w:ascii="Times New Roman" w:hAnsi="Times New Roman" w:cs="Times New Roman"/>
          <w:i/>
          <w:iCs/>
          <w:sz w:val="24"/>
          <w:szCs w:val="24"/>
        </w:rPr>
        <w:t>Unsolicited Information Policy</w:t>
      </w:r>
      <w:r w:rsidRPr="00600FF3">
        <w:rPr>
          <w:rFonts w:ascii="Times New Roman" w:hAnsi="Times New Roman" w:cs="Times New Roman"/>
          <w:sz w:val="24"/>
          <w:szCs w:val="24"/>
        </w:rPr>
        <w:t>,</w:t>
      </w:r>
      <w:r w:rsidRPr="00600FF3">
        <w:rPr>
          <w:rFonts w:ascii="Times New Roman" w:hAnsi="Times New Roman" w:cs="Times New Roman"/>
          <w:i/>
          <w:iCs/>
          <w:sz w:val="24"/>
          <w:szCs w:val="24"/>
        </w:rPr>
        <w:t xml:space="preserve"> supra</w:t>
      </w:r>
      <w:r w:rsidRPr="00600FF3">
        <w:rPr>
          <w:rFonts w:ascii="Times New Roman" w:hAnsi="Times New Roman" w:cs="Times New Roman"/>
          <w:sz w:val="24"/>
          <w:szCs w:val="24"/>
        </w:rPr>
        <w:t xml:space="preserve"> note </w:t>
      </w:r>
      <w:r w:rsidR="001454CE" w:rsidRPr="00600FF3">
        <w:rPr>
          <w:rFonts w:ascii="Times New Roman" w:hAnsi="Times New Roman" w:cs="Times New Roman"/>
          <w:sz w:val="24"/>
          <w:szCs w:val="24"/>
        </w:rPr>
        <w:t>1</w:t>
      </w:r>
      <w:r w:rsidR="004506A0">
        <w:rPr>
          <w:rFonts w:ascii="Times New Roman" w:hAnsi="Times New Roman" w:cs="Times New Roman"/>
          <w:sz w:val="24"/>
          <w:szCs w:val="24"/>
        </w:rPr>
        <w:t>6</w:t>
      </w:r>
      <w:r w:rsidRPr="00600FF3">
        <w:rPr>
          <w:rFonts w:ascii="Times New Roman" w:hAnsi="Times New Roman" w:cs="Times New Roman"/>
          <w:sz w:val="24"/>
          <w:szCs w:val="24"/>
        </w:rPr>
        <w:t xml:space="preserve">.  </w:t>
      </w:r>
    </w:p>
  </w:footnote>
  <w:footnote w:id="40">
    <w:p w14:paraId="613B92A8" w14:textId="7CF33753" w:rsidR="00451B4A" w:rsidRDefault="00451B4A" w:rsidP="00451B4A">
      <w:pPr>
        <w:pStyle w:val="FootnoteText"/>
      </w:pPr>
      <w:r w:rsidRPr="00600FF3">
        <w:rPr>
          <w:rStyle w:val="FootnoteReference"/>
          <w:sz w:val="24"/>
          <w:szCs w:val="24"/>
        </w:rPr>
        <w:footnoteRef/>
      </w:r>
      <w:r w:rsidRPr="00600FF3">
        <w:rPr>
          <w:sz w:val="24"/>
          <w:szCs w:val="24"/>
        </w:rPr>
        <w:t xml:space="preserve"> </w:t>
      </w:r>
      <w:r w:rsidR="00262FAD" w:rsidRPr="00600FF3">
        <w:rPr>
          <w:rFonts w:ascii="Times New Roman" w:hAnsi="Times New Roman" w:cs="Times New Roman"/>
          <w:i/>
          <w:iCs/>
          <w:sz w:val="24"/>
          <w:szCs w:val="24"/>
        </w:rPr>
        <w:t>Vavilov</w:t>
      </w:r>
      <w:r w:rsidR="00262FAD" w:rsidRPr="00600FF3">
        <w:rPr>
          <w:sz w:val="24"/>
          <w:szCs w:val="24"/>
        </w:rPr>
        <w:t xml:space="preserve">, </w:t>
      </w:r>
      <w:r w:rsidR="00262FAD" w:rsidRPr="00600FF3">
        <w:rPr>
          <w:rFonts w:ascii="Times New Roman" w:hAnsi="Times New Roman" w:cs="Times New Roman"/>
          <w:i/>
          <w:iCs/>
          <w:sz w:val="24"/>
          <w:szCs w:val="24"/>
        </w:rPr>
        <w:t>s</w:t>
      </w:r>
      <w:r w:rsidRPr="00600FF3">
        <w:rPr>
          <w:rFonts w:ascii="Times New Roman" w:hAnsi="Times New Roman" w:cs="Times New Roman"/>
          <w:i/>
          <w:iCs/>
          <w:sz w:val="24"/>
          <w:szCs w:val="24"/>
        </w:rPr>
        <w:t xml:space="preserve">upra </w:t>
      </w:r>
      <w:r w:rsidRPr="00600FF3">
        <w:rPr>
          <w:rFonts w:ascii="Times New Roman" w:hAnsi="Times New Roman" w:cs="Times New Roman"/>
          <w:sz w:val="24"/>
          <w:szCs w:val="24"/>
        </w:rPr>
        <w:t xml:space="preserve">note </w:t>
      </w:r>
      <w:r w:rsidR="004506A0">
        <w:rPr>
          <w:rFonts w:ascii="Times New Roman" w:hAnsi="Times New Roman" w:cs="Times New Roman"/>
          <w:sz w:val="24"/>
          <w:szCs w:val="24"/>
        </w:rPr>
        <w:t>8</w:t>
      </w:r>
      <w:r w:rsidR="00502607">
        <w:rPr>
          <w:rFonts w:ascii="Times New Roman" w:hAnsi="Times New Roman" w:cs="Times New Roman"/>
          <w:sz w:val="24"/>
          <w:szCs w:val="24"/>
        </w:rPr>
        <w:t xml:space="preserve"> </w:t>
      </w:r>
      <w:r w:rsidRPr="00600FF3">
        <w:rPr>
          <w:rFonts w:ascii="Times New Roman" w:hAnsi="Times New Roman" w:cs="Times New Roman"/>
          <w:sz w:val="24"/>
          <w:szCs w:val="24"/>
        </w:rPr>
        <w:t>at para 21.</w:t>
      </w:r>
      <w:r>
        <w:rPr>
          <w:rFonts w:ascii="Times New Roman" w:hAnsi="Times New Roman" w:cs="Times New Roman"/>
        </w:rPr>
        <w:t xml:space="preserve"> </w:t>
      </w:r>
    </w:p>
  </w:footnote>
  <w:footnote w:id="41">
    <w:p w14:paraId="1B339778" w14:textId="30AB98B0" w:rsidR="00677D1C" w:rsidRPr="00677D1C" w:rsidRDefault="00677D1C">
      <w:pPr>
        <w:pStyle w:val="FootnoteText"/>
        <w:rPr>
          <w:rFonts w:ascii="Times New Roman" w:hAnsi="Times New Roman" w:cs="Times New Roman"/>
          <w:sz w:val="24"/>
          <w:szCs w:val="24"/>
        </w:rPr>
      </w:pPr>
      <w:r w:rsidRPr="00677D1C">
        <w:rPr>
          <w:rStyle w:val="FootnoteReference"/>
          <w:rFonts w:ascii="Times New Roman" w:hAnsi="Times New Roman" w:cs="Times New Roman"/>
          <w:sz w:val="24"/>
          <w:szCs w:val="24"/>
        </w:rPr>
        <w:footnoteRef/>
      </w:r>
      <w:r w:rsidRPr="00677D1C">
        <w:rPr>
          <w:rFonts w:ascii="Times New Roman" w:hAnsi="Times New Roman" w:cs="Times New Roman"/>
          <w:sz w:val="24"/>
          <w:szCs w:val="24"/>
        </w:rPr>
        <w:t xml:space="preserve"> </w:t>
      </w:r>
      <w:r w:rsidRPr="00677D1C">
        <w:rPr>
          <w:rFonts w:ascii="Times New Roman" w:hAnsi="Times New Roman" w:cs="Times New Roman"/>
          <w:i/>
          <w:iCs/>
          <w:sz w:val="24"/>
          <w:szCs w:val="24"/>
        </w:rPr>
        <w:t xml:space="preserve">RPD </w:t>
      </w:r>
      <w:r w:rsidR="004506A0">
        <w:rPr>
          <w:rFonts w:ascii="Times New Roman" w:hAnsi="Times New Roman" w:cs="Times New Roman"/>
          <w:i/>
          <w:iCs/>
          <w:sz w:val="24"/>
          <w:szCs w:val="24"/>
        </w:rPr>
        <w:t>Reaso</w:t>
      </w:r>
      <w:r w:rsidRPr="00677D1C">
        <w:rPr>
          <w:rFonts w:ascii="Times New Roman" w:hAnsi="Times New Roman" w:cs="Times New Roman"/>
          <w:i/>
          <w:iCs/>
          <w:sz w:val="24"/>
          <w:szCs w:val="24"/>
        </w:rPr>
        <w:t>n</w:t>
      </w:r>
      <w:r w:rsidR="004506A0">
        <w:rPr>
          <w:rFonts w:ascii="Times New Roman" w:hAnsi="Times New Roman" w:cs="Times New Roman"/>
          <w:i/>
          <w:iCs/>
          <w:sz w:val="24"/>
          <w:szCs w:val="24"/>
        </w:rPr>
        <w:t>s</w:t>
      </w:r>
      <w:r w:rsidR="00793AD0">
        <w:rPr>
          <w:rFonts w:ascii="Times New Roman" w:hAnsi="Times New Roman" w:cs="Times New Roman"/>
          <w:i/>
          <w:iCs/>
          <w:sz w:val="24"/>
          <w:szCs w:val="24"/>
        </w:rPr>
        <w:t>,</w:t>
      </w:r>
      <w:r w:rsidRPr="00677D1C">
        <w:rPr>
          <w:rFonts w:ascii="Times New Roman" w:hAnsi="Times New Roman" w:cs="Times New Roman"/>
          <w:i/>
          <w:iCs/>
          <w:sz w:val="24"/>
          <w:szCs w:val="24"/>
        </w:rPr>
        <w:t xml:space="preserve"> supra </w:t>
      </w:r>
      <w:r w:rsidRPr="00677D1C">
        <w:rPr>
          <w:rFonts w:ascii="Times New Roman" w:hAnsi="Times New Roman" w:cs="Times New Roman"/>
          <w:sz w:val="24"/>
          <w:szCs w:val="24"/>
        </w:rPr>
        <w:t xml:space="preserve">note </w:t>
      </w:r>
      <w:r w:rsidR="004506A0">
        <w:rPr>
          <w:rFonts w:ascii="Times New Roman" w:hAnsi="Times New Roman" w:cs="Times New Roman"/>
          <w:sz w:val="24"/>
          <w:szCs w:val="24"/>
        </w:rPr>
        <w:t>4</w:t>
      </w:r>
      <w:r w:rsidR="00502607">
        <w:rPr>
          <w:rFonts w:ascii="Times New Roman" w:hAnsi="Times New Roman" w:cs="Times New Roman"/>
          <w:sz w:val="24"/>
          <w:szCs w:val="24"/>
        </w:rPr>
        <w:t xml:space="preserve"> </w:t>
      </w:r>
      <w:r w:rsidR="00B963EF">
        <w:rPr>
          <w:rFonts w:ascii="Times New Roman" w:hAnsi="Times New Roman" w:cs="Times New Roman"/>
          <w:sz w:val="24"/>
          <w:szCs w:val="24"/>
        </w:rPr>
        <w:t xml:space="preserve">at para 35. </w:t>
      </w:r>
    </w:p>
  </w:footnote>
  <w:footnote w:id="42">
    <w:p w14:paraId="40175694" w14:textId="274E9B75" w:rsidR="002E3DEF" w:rsidRPr="00600FF3" w:rsidRDefault="002E3DEF" w:rsidP="002E3DEF">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Olah,</w:t>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supra </w:t>
      </w:r>
      <w:r w:rsidRPr="00600FF3">
        <w:rPr>
          <w:rFonts w:ascii="Times New Roman" w:hAnsi="Times New Roman" w:cs="Times New Roman"/>
          <w:sz w:val="24"/>
          <w:szCs w:val="24"/>
        </w:rPr>
        <w:t xml:space="preserve">note </w:t>
      </w:r>
      <w:r w:rsidR="004506A0">
        <w:rPr>
          <w:rFonts w:ascii="Times New Roman" w:hAnsi="Times New Roman" w:cs="Times New Roman"/>
          <w:sz w:val="24"/>
          <w:szCs w:val="24"/>
        </w:rPr>
        <w:t>20</w:t>
      </w:r>
      <w:r w:rsidR="00502607">
        <w:rPr>
          <w:rFonts w:ascii="Times New Roman" w:hAnsi="Times New Roman" w:cs="Times New Roman"/>
          <w:sz w:val="24"/>
          <w:szCs w:val="24"/>
        </w:rPr>
        <w:t xml:space="preserve"> </w:t>
      </w:r>
      <w:r w:rsidRPr="00600FF3">
        <w:rPr>
          <w:rFonts w:ascii="Times New Roman" w:hAnsi="Times New Roman" w:cs="Times New Roman"/>
          <w:sz w:val="24"/>
          <w:szCs w:val="24"/>
        </w:rPr>
        <w:t xml:space="preserve">at paras 25-26. </w:t>
      </w:r>
    </w:p>
  </w:footnote>
  <w:footnote w:id="43">
    <w:p w14:paraId="5A61496D" w14:textId="064C9591" w:rsidR="002E3DEF" w:rsidRPr="00600FF3" w:rsidRDefault="002E3DEF" w:rsidP="002E3DEF">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346B3E">
        <w:rPr>
          <w:rFonts w:ascii="Times New Roman" w:hAnsi="Times New Roman" w:cs="Times New Roman"/>
          <w:i/>
          <w:iCs/>
          <w:sz w:val="24"/>
          <w:szCs w:val="24"/>
        </w:rPr>
        <w:t>Ibid</w:t>
      </w:r>
      <w:r w:rsidR="00502607">
        <w:rPr>
          <w:rFonts w:ascii="Times New Roman" w:hAnsi="Times New Roman" w:cs="Times New Roman"/>
          <w:sz w:val="24"/>
          <w:szCs w:val="24"/>
        </w:rPr>
        <w:t xml:space="preserve"> </w:t>
      </w:r>
      <w:r w:rsidRPr="00600FF3">
        <w:rPr>
          <w:rFonts w:ascii="Times New Roman" w:hAnsi="Times New Roman" w:cs="Times New Roman"/>
          <w:sz w:val="24"/>
          <w:szCs w:val="24"/>
        </w:rPr>
        <w:t>at para 29.</w:t>
      </w:r>
    </w:p>
  </w:footnote>
  <w:footnote w:id="44">
    <w:p w14:paraId="5F7FB7BE" w14:textId="5B667D58" w:rsidR="00FE0AD5" w:rsidRPr="00600FF3" w:rsidRDefault="00FE0AD5" w:rsidP="00FE0AD5">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00346B3E">
        <w:rPr>
          <w:rFonts w:ascii="Times New Roman" w:hAnsi="Times New Roman" w:cs="Times New Roman"/>
          <w:i/>
          <w:iCs/>
          <w:sz w:val="24"/>
          <w:szCs w:val="24"/>
        </w:rPr>
        <w:t>Ibid</w:t>
      </w:r>
      <w:r w:rsidRPr="00600FF3">
        <w:rPr>
          <w:rFonts w:ascii="Times New Roman" w:hAnsi="Times New Roman" w:cs="Times New Roman"/>
          <w:sz w:val="24"/>
          <w:szCs w:val="24"/>
        </w:rPr>
        <w:t>.</w:t>
      </w:r>
    </w:p>
  </w:footnote>
  <w:footnote w:id="45">
    <w:p w14:paraId="4249B5FC" w14:textId="4AF2C3E7" w:rsidR="00186A32" w:rsidRPr="00600FF3" w:rsidRDefault="00186A32" w:rsidP="00186A32">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 xml:space="preserve">Okpanachi v Canada (Citizenship and Immigration), </w:t>
      </w:r>
      <w:r w:rsidRPr="00600FF3">
        <w:rPr>
          <w:rFonts w:ascii="Times New Roman" w:hAnsi="Times New Roman" w:cs="Times New Roman"/>
          <w:sz w:val="24"/>
          <w:szCs w:val="24"/>
        </w:rPr>
        <w:t>2022 FC 212</w:t>
      </w:r>
      <w:r w:rsidRPr="00600FF3">
        <w:rPr>
          <w:rFonts w:ascii="Times New Roman" w:hAnsi="Times New Roman" w:cs="Times New Roman"/>
          <w:i/>
          <w:iCs/>
          <w:sz w:val="24"/>
          <w:szCs w:val="24"/>
        </w:rPr>
        <w:t xml:space="preserve"> </w:t>
      </w:r>
      <w:r w:rsidRPr="00600FF3">
        <w:rPr>
          <w:rFonts w:ascii="Times New Roman" w:hAnsi="Times New Roman" w:cs="Times New Roman"/>
          <w:sz w:val="24"/>
          <w:szCs w:val="24"/>
        </w:rPr>
        <w:t>at para 34 [</w:t>
      </w:r>
      <w:r w:rsidRPr="00600FF3">
        <w:rPr>
          <w:rFonts w:ascii="Times New Roman" w:hAnsi="Times New Roman" w:cs="Times New Roman"/>
          <w:i/>
          <w:iCs/>
          <w:sz w:val="24"/>
          <w:szCs w:val="24"/>
        </w:rPr>
        <w:t>Okpanachi</w:t>
      </w:r>
      <w:r w:rsidRPr="00600FF3">
        <w:rPr>
          <w:rFonts w:ascii="Times New Roman" w:hAnsi="Times New Roman" w:cs="Times New Roman"/>
          <w:sz w:val="24"/>
          <w:szCs w:val="24"/>
        </w:rPr>
        <w:t xml:space="preserve">]. </w:t>
      </w:r>
    </w:p>
  </w:footnote>
  <w:footnote w:id="46">
    <w:p w14:paraId="20D74C8E" w14:textId="44C6E339" w:rsidR="00186A32" w:rsidRPr="00600FF3" w:rsidRDefault="00186A32" w:rsidP="00186A32">
      <w:pPr>
        <w:pStyle w:val="FootnoteText"/>
        <w:rPr>
          <w:rFonts w:ascii="Times New Roman" w:hAnsi="Times New Roman" w:cs="Times New Roman"/>
          <w:sz w:val="24"/>
          <w:szCs w:val="24"/>
        </w:rPr>
      </w:pPr>
      <w:r w:rsidRPr="00600FF3">
        <w:rPr>
          <w:rStyle w:val="FootnoteReference"/>
          <w:rFonts w:ascii="Times New Roman" w:hAnsi="Times New Roman" w:cs="Times New Roman"/>
          <w:sz w:val="24"/>
          <w:szCs w:val="24"/>
        </w:rPr>
        <w:footnoteRef/>
      </w:r>
      <w:r w:rsidRPr="00600FF3">
        <w:rPr>
          <w:rFonts w:ascii="Times New Roman" w:hAnsi="Times New Roman" w:cs="Times New Roman"/>
          <w:i/>
          <w:iCs/>
          <w:sz w:val="24"/>
          <w:szCs w:val="24"/>
        </w:rPr>
        <w:t xml:space="preserve"> </w:t>
      </w:r>
      <w:r w:rsidR="00477495" w:rsidRPr="00600FF3">
        <w:rPr>
          <w:rFonts w:ascii="Times New Roman" w:hAnsi="Times New Roman" w:cs="Times New Roman"/>
          <w:i/>
          <w:iCs/>
          <w:sz w:val="24"/>
          <w:szCs w:val="24"/>
        </w:rPr>
        <w:t>Chairperson’s Guidelines</w:t>
      </w:r>
      <w:r w:rsidR="00262FAD" w:rsidRPr="00600FF3">
        <w:rPr>
          <w:rFonts w:ascii="Times New Roman" w:hAnsi="Times New Roman" w:cs="Times New Roman"/>
          <w:i/>
          <w:iCs/>
          <w:sz w:val="24"/>
          <w:szCs w:val="24"/>
        </w:rPr>
        <w:t xml:space="preserve">, supra </w:t>
      </w:r>
      <w:r w:rsidR="00262FAD" w:rsidRPr="00383E71">
        <w:rPr>
          <w:rFonts w:ascii="Times New Roman" w:hAnsi="Times New Roman" w:cs="Times New Roman"/>
          <w:sz w:val="24"/>
          <w:szCs w:val="24"/>
        </w:rPr>
        <w:t xml:space="preserve">note </w:t>
      </w:r>
      <w:r w:rsidR="00502607" w:rsidRPr="00383E71">
        <w:rPr>
          <w:rFonts w:ascii="Times New Roman" w:hAnsi="Times New Roman" w:cs="Times New Roman"/>
          <w:sz w:val="24"/>
          <w:szCs w:val="24"/>
        </w:rPr>
        <w:t>2</w:t>
      </w:r>
      <w:r w:rsidR="00761829">
        <w:rPr>
          <w:rFonts w:ascii="Times New Roman" w:hAnsi="Times New Roman" w:cs="Times New Roman"/>
          <w:i/>
          <w:iCs/>
          <w:sz w:val="24"/>
          <w:szCs w:val="24"/>
        </w:rPr>
        <w:t xml:space="preserve"> </w:t>
      </w:r>
      <w:r w:rsidRPr="00600FF3">
        <w:rPr>
          <w:rFonts w:ascii="Times New Roman" w:hAnsi="Times New Roman" w:cs="Times New Roman"/>
          <w:sz w:val="24"/>
          <w:szCs w:val="24"/>
        </w:rPr>
        <w:t>s</w:t>
      </w:r>
      <w:r w:rsidR="00D66DCA">
        <w:rPr>
          <w:rFonts w:ascii="Times New Roman" w:hAnsi="Times New Roman" w:cs="Times New Roman"/>
          <w:sz w:val="24"/>
          <w:szCs w:val="24"/>
        </w:rPr>
        <w:t xml:space="preserve"> </w:t>
      </w:r>
      <w:r w:rsidRPr="00600FF3">
        <w:rPr>
          <w:rFonts w:ascii="Times New Roman" w:hAnsi="Times New Roman" w:cs="Times New Roman"/>
          <w:sz w:val="24"/>
          <w:szCs w:val="24"/>
        </w:rPr>
        <w:t xml:space="preserve">7.4.  </w:t>
      </w:r>
    </w:p>
  </w:footnote>
  <w:footnote w:id="47">
    <w:p w14:paraId="3699447A" w14:textId="77777777" w:rsidR="00CD0B7F" w:rsidRPr="00DC1F6A" w:rsidRDefault="00CD0B7F" w:rsidP="00CD0B7F">
      <w:pPr>
        <w:pStyle w:val="FootnoteText"/>
        <w:rPr>
          <w:rFonts w:ascii="Times New Roman" w:hAnsi="Times New Roman" w:cs="Times New Roman"/>
        </w:rPr>
      </w:pPr>
      <w:r w:rsidRPr="00600FF3">
        <w:rPr>
          <w:rStyle w:val="FootnoteReference"/>
          <w:rFonts w:ascii="Times New Roman" w:hAnsi="Times New Roman" w:cs="Times New Roman"/>
          <w:sz w:val="24"/>
          <w:szCs w:val="24"/>
        </w:rPr>
        <w:footnoteRef/>
      </w:r>
      <w:r w:rsidRPr="00600FF3">
        <w:rPr>
          <w:rFonts w:ascii="Times New Roman" w:hAnsi="Times New Roman" w:cs="Times New Roman"/>
          <w:sz w:val="24"/>
          <w:szCs w:val="24"/>
        </w:rPr>
        <w:t xml:space="preserve"> </w:t>
      </w:r>
      <w:r w:rsidRPr="00600FF3">
        <w:rPr>
          <w:rFonts w:ascii="Times New Roman" w:hAnsi="Times New Roman" w:cs="Times New Roman"/>
          <w:i/>
          <w:iCs/>
          <w:sz w:val="24"/>
          <w:szCs w:val="24"/>
        </w:rPr>
        <w:t>Lozano Pulido v Canada (Citizenship and Immigration</w:t>
      </w:r>
      <w:r w:rsidRPr="00600FF3">
        <w:rPr>
          <w:rFonts w:ascii="Times New Roman" w:hAnsi="Times New Roman" w:cs="Times New Roman"/>
          <w:sz w:val="24"/>
          <w:szCs w:val="24"/>
        </w:rPr>
        <w:t>), 2007 FC 209 at para 28 [</w:t>
      </w:r>
      <w:r w:rsidRPr="00600FF3">
        <w:rPr>
          <w:rFonts w:ascii="Times New Roman" w:hAnsi="Times New Roman" w:cs="Times New Roman"/>
          <w:i/>
          <w:iCs/>
          <w:sz w:val="24"/>
          <w:szCs w:val="24"/>
        </w:rPr>
        <w:t>Lozano Pulido</w:t>
      </w:r>
      <w:r w:rsidRPr="00600FF3">
        <w:rPr>
          <w:rFonts w:ascii="Times New Roman" w:hAnsi="Times New Roman" w:cs="Times New Roman"/>
          <w:sz w:val="24"/>
          <w:szCs w:val="24"/>
        </w:rPr>
        <w:t>].</w:t>
      </w:r>
      <w:r>
        <w:rPr>
          <w:rFonts w:ascii="Times New Roman" w:hAnsi="Times New Roman" w:cs="Times New Roman"/>
        </w:rPr>
        <w:t xml:space="preserve"> </w:t>
      </w:r>
    </w:p>
  </w:footnote>
  <w:footnote w:id="48">
    <w:p w14:paraId="1AC5DB5A" w14:textId="77777777" w:rsidR="00186A32" w:rsidRPr="00DE60B4" w:rsidRDefault="00186A32" w:rsidP="00186A32">
      <w:pPr>
        <w:pStyle w:val="FootnoteText"/>
        <w:rPr>
          <w:rFonts w:ascii="Times New Roman" w:hAnsi="Times New Roman" w:cs="Times New Roman"/>
          <w:sz w:val="24"/>
          <w:szCs w:val="24"/>
        </w:rPr>
      </w:pPr>
      <w:r w:rsidRPr="00DE60B4">
        <w:rPr>
          <w:rStyle w:val="FootnoteReference"/>
          <w:rFonts w:ascii="Times New Roman" w:hAnsi="Times New Roman" w:cs="Times New Roman"/>
          <w:sz w:val="24"/>
          <w:szCs w:val="24"/>
        </w:rPr>
        <w:footnoteRef/>
      </w:r>
      <w:r w:rsidRPr="00DE60B4">
        <w:rPr>
          <w:rFonts w:ascii="Times New Roman" w:hAnsi="Times New Roman" w:cs="Times New Roman"/>
          <w:sz w:val="24"/>
          <w:szCs w:val="24"/>
        </w:rPr>
        <w:t xml:space="preserve"> </w:t>
      </w:r>
      <w:r w:rsidRPr="00DE60B4">
        <w:rPr>
          <w:rFonts w:ascii="Times New Roman" w:hAnsi="Times New Roman" w:cs="Times New Roman"/>
          <w:i/>
          <w:iCs/>
          <w:sz w:val="24"/>
          <w:szCs w:val="24"/>
        </w:rPr>
        <w:t xml:space="preserve">Ibid </w:t>
      </w:r>
      <w:r w:rsidRPr="00DE60B4">
        <w:rPr>
          <w:rFonts w:ascii="Times New Roman" w:hAnsi="Times New Roman" w:cs="Times New Roman"/>
          <w:sz w:val="24"/>
          <w:szCs w:val="24"/>
        </w:rPr>
        <w:t>at para 26.</w:t>
      </w:r>
    </w:p>
  </w:footnote>
  <w:footnote w:id="49">
    <w:p w14:paraId="33A1738F" w14:textId="77777777" w:rsidR="00CD0B7F" w:rsidRPr="00DE60B4" w:rsidRDefault="00CD0B7F" w:rsidP="00CD0B7F">
      <w:pPr>
        <w:pStyle w:val="FootnoteText"/>
        <w:rPr>
          <w:rFonts w:ascii="Times New Roman" w:hAnsi="Times New Roman" w:cs="Times New Roman"/>
          <w:i/>
          <w:iCs/>
          <w:sz w:val="24"/>
          <w:szCs w:val="24"/>
        </w:rPr>
      </w:pPr>
      <w:r w:rsidRPr="00DE60B4">
        <w:rPr>
          <w:rStyle w:val="FootnoteReference"/>
          <w:rFonts w:ascii="Times New Roman" w:hAnsi="Times New Roman" w:cs="Times New Roman"/>
          <w:sz w:val="24"/>
          <w:szCs w:val="24"/>
        </w:rPr>
        <w:footnoteRef/>
      </w:r>
      <w:r w:rsidRPr="00DE60B4">
        <w:rPr>
          <w:rFonts w:ascii="Times New Roman" w:hAnsi="Times New Roman" w:cs="Times New Roman"/>
          <w:sz w:val="24"/>
          <w:szCs w:val="24"/>
        </w:rPr>
        <w:t xml:space="preserve"> </w:t>
      </w:r>
      <w:r w:rsidRPr="00DE60B4">
        <w:rPr>
          <w:rFonts w:ascii="Times New Roman" w:hAnsi="Times New Roman" w:cs="Times New Roman"/>
          <w:i/>
          <w:iCs/>
          <w:sz w:val="24"/>
          <w:szCs w:val="24"/>
        </w:rPr>
        <w:t xml:space="preserve">Ibid </w:t>
      </w:r>
      <w:r w:rsidRPr="00DE60B4">
        <w:rPr>
          <w:rFonts w:ascii="Times New Roman" w:hAnsi="Times New Roman" w:cs="Times New Roman"/>
          <w:sz w:val="24"/>
          <w:szCs w:val="24"/>
        </w:rPr>
        <w:t>at para 30.</w:t>
      </w:r>
      <w:r w:rsidRPr="00DE60B4">
        <w:rPr>
          <w:rFonts w:ascii="Times New Roman" w:hAnsi="Times New Roman" w:cs="Times New Roman"/>
          <w:i/>
          <w:iCs/>
          <w:sz w:val="24"/>
          <w:szCs w:val="24"/>
        </w:rPr>
        <w:t xml:space="preserve"> </w:t>
      </w:r>
    </w:p>
  </w:footnote>
  <w:footnote w:id="50">
    <w:p w14:paraId="0FBA55C7" w14:textId="6E834273" w:rsidR="00CD0B7F" w:rsidRPr="00DE60B4" w:rsidRDefault="00CD0B7F" w:rsidP="00CD0B7F">
      <w:pPr>
        <w:pStyle w:val="FootnoteText"/>
        <w:rPr>
          <w:rFonts w:ascii="Times New Roman" w:hAnsi="Times New Roman" w:cs="Times New Roman"/>
          <w:sz w:val="24"/>
          <w:szCs w:val="24"/>
        </w:rPr>
      </w:pPr>
      <w:r w:rsidRPr="00DE60B4">
        <w:rPr>
          <w:rStyle w:val="FootnoteReference"/>
          <w:rFonts w:ascii="Times New Roman" w:hAnsi="Times New Roman" w:cs="Times New Roman"/>
          <w:sz w:val="24"/>
          <w:szCs w:val="24"/>
        </w:rPr>
        <w:footnoteRef/>
      </w:r>
      <w:r w:rsidRPr="00DE60B4">
        <w:rPr>
          <w:rFonts w:ascii="Times New Roman" w:hAnsi="Times New Roman" w:cs="Times New Roman"/>
          <w:sz w:val="24"/>
          <w:szCs w:val="24"/>
        </w:rPr>
        <w:t xml:space="preserve"> </w:t>
      </w:r>
      <w:r w:rsidR="00091163" w:rsidRPr="00091163">
        <w:rPr>
          <w:rFonts w:ascii="Times New Roman" w:hAnsi="Times New Roman" w:cs="Times New Roman"/>
          <w:i/>
          <w:iCs/>
          <w:sz w:val="24"/>
          <w:szCs w:val="24"/>
        </w:rPr>
        <w:t>R.K.L. v Canada (Minister of Citizenship and Immigration),</w:t>
      </w:r>
      <w:r w:rsidR="00091163" w:rsidRPr="00091163">
        <w:rPr>
          <w:rFonts w:ascii="Times New Roman" w:hAnsi="Times New Roman" w:cs="Times New Roman"/>
          <w:sz w:val="24"/>
          <w:szCs w:val="24"/>
        </w:rPr>
        <w:t xml:space="preserve"> [2003] F.C.J. No. 162. </w:t>
      </w:r>
      <w:r w:rsidRPr="00DE60B4">
        <w:rPr>
          <w:rFonts w:ascii="Times New Roman" w:hAnsi="Times New Roman" w:cs="Times New Roman"/>
          <w:sz w:val="24"/>
          <w:szCs w:val="24"/>
        </w:rPr>
        <w:t>[</w:t>
      </w:r>
      <w:r w:rsidRPr="00DE60B4">
        <w:rPr>
          <w:rFonts w:ascii="Times New Roman" w:hAnsi="Times New Roman" w:cs="Times New Roman"/>
          <w:i/>
          <w:iCs/>
          <w:sz w:val="24"/>
          <w:szCs w:val="24"/>
        </w:rPr>
        <w:t>RKL</w:t>
      </w:r>
      <w:r w:rsidRPr="00DE60B4">
        <w:rPr>
          <w:rFonts w:ascii="Times New Roman" w:hAnsi="Times New Roman" w:cs="Times New Roman"/>
          <w:sz w:val="24"/>
          <w:szCs w:val="24"/>
        </w:rPr>
        <w:t>].</w:t>
      </w:r>
    </w:p>
  </w:footnote>
  <w:footnote w:id="51">
    <w:p w14:paraId="4F42C53F" w14:textId="77777777" w:rsidR="00186A32" w:rsidRPr="00DE60B4" w:rsidRDefault="00186A32" w:rsidP="00186A32">
      <w:pPr>
        <w:pStyle w:val="FootnoteText"/>
        <w:rPr>
          <w:rFonts w:ascii="Times New Roman" w:hAnsi="Times New Roman" w:cs="Times New Roman"/>
          <w:sz w:val="24"/>
          <w:szCs w:val="24"/>
        </w:rPr>
      </w:pPr>
      <w:r w:rsidRPr="00DE60B4">
        <w:rPr>
          <w:rStyle w:val="FootnoteReference"/>
          <w:rFonts w:ascii="Times New Roman" w:hAnsi="Times New Roman" w:cs="Times New Roman"/>
          <w:sz w:val="24"/>
          <w:szCs w:val="24"/>
        </w:rPr>
        <w:footnoteRef/>
      </w:r>
      <w:r w:rsidRPr="00DE60B4">
        <w:rPr>
          <w:rFonts w:ascii="Times New Roman" w:hAnsi="Times New Roman" w:cs="Times New Roman"/>
          <w:sz w:val="24"/>
          <w:szCs w:val="24"/>
        </w:rPr>
        <w:t xml:space="preserve"> </w:t>
      </w:r>
      <w:r w:rsidRPr="00DE60B4">
        <w:rPr>
          <w:rFonts w:ascii="Times New Roman" w:hAnsi="Times New Roman" w:cs="Times New Roman"/>
          <w:i/>
          <w:iCs/>
          <w:sz w:val="24"/>
          <w:szCs w:val="24"/>
        </w:rPr>
        <w:t xml:space="preserve">Ibid </w:t>
      </w:r>
      <w:r w:rsidRPr="00DE60B4">
        <w:rPr>
          <w:rFonts w:ascii="Times New Roman" w:hAnsi="Times New Roman" w:cs="Times New Roman"/>
          <w:sz w:val="24"/>
          <w:szCs w:val="24"/>
        </w:rPr>
        <w:t xml:space="preserve">at para 12. </w:t>
      </w:r>
    </w:p>
  </w:footnote>
  <w:footnote w:id="52">
    <w:p w14:paraId="2A6D2F0B" w14:textId="3C993442" w:rsidR="00CD0B7F" w:rsidRPr="005571BF" w:rsidRDefault="00CD0B7F" w:rsidP="00CD0B7F">
      <w:pPr>
        <w:pStyle w:val="FootnoteText"/>
        <w:rPr>
          <w:rFonts w:ascii="Times New Roman" w:hAnsi="Times New Roman" w:cs="Times New Roman"/>
        </w:rPr>
      </w:pPr>
      <w:r w:rsidRPr="00DE60B4">
        <w:rPr>
          <w:rStyle w:val="FootnoteReference"/>
          <w:rFonts w:ascii="Times New Roman" w:hAnsi="Times New Roman" w:cs="Times New Roman"/>
          <w:sz w:val="24"/>
          <w:szCs w:val="24"/>
        </w:rPr>
        <w:footnoteRef/>
      </w:r>
      <w:r w:rsidRPr="00DE60B4">
        <w:rPr>
          <w:rFonts w:ascii="Times New Roman" w:hAnsi="Times New Roman" w:cs="Times New Roman"/>
          <w:sz w:val="24"/>
          <w:szCs w:val="24"/>
        </w:rPr>
        <w:t xml:space="preserve"> </w:t>
      </w:r>
      <w:r w:rsidRPr="002A0378">
        <w:rPr>
          <w:rFonts w:ascii="Times New Roman" w:hAnsi="Times New Roman" w:cs="Times New Roman"/>
          <w:i/>
          <w:iCs/>
          <w:sz w:val="24"/>
          <w:szCs w:val="24"/>
        </w:rPr>
        <w:t>Krishnasamy v Canada (Minister of Citizenship and Immigration)</w:t>
      </w:r>
      <w:r w:rsidRPr="00DE60B4">
        <w:rPr>
          <w:rFonts w:ascii="Times New Roman" w:hAnsi="Times New Roman" w:cs="Times New Roman"/>
          <w:sz w:val="24"/>
          <w:szCs w:val="24"/>
        </w:rPr>
        <w:t>, 2006 FC 451</w:t>
      </w:r>
      <w:r w:rsidR="00CE097E">
        <w:rPr>
          <w:rFonts w:ascii="Times New Roman" w:hAnsi="Times New Roman" w:cs="Times New Roman"/>
          <w:sz w:val="24"/>
          <w:szCs w:val="24"/>
        </w:rPr>
        <w:t xml:space="preserve"> </w:t>
      </w:r>
      <w:r w:rsidRPr="00DE60B4">
        <w:rPr>
          <w:rFonts w:ascii="Times New Roman" w:hAnsi="Times New Roman" w:cs="Times New Roman"/>
          <w:sz w:val="24"/>
          <w:szCs w:val="24"/>
        </w:rPr>
        <w:t>[</w:t>
      </w:r>
      <w:r w:rsidRPr="00DE60B4">
        <w:rPr>
          <w:rFonts w:ascii="Times New Roman" w:hAnsi="Times New Roman" w:cs="Times New Roman"/>
          <w:i/>
          <w:iCs/>
          <w:sz w:val="24"/>
          <w:szCs w:val="24"/>
        </w:rPr>
        <w:t>Krishnasamy</w:t>
      </w:r>
      <w:r w:rsidRPr="00DE60B4">
        <w:rPr>
          <w:rFonts w:ascii="Times New Roman" w:hAnsi="Times New Roman" w:cs="Times New Roman"/>
          <w:sz w:val="24"/>
          <w:szCs w:val="24"/>
        </w:rPr>
        <w:t>].</w:t>
      </w:r>
    </w:p>
  </w:footnote>
  <w:footnote w:id="53">
    <w:p w14:paraId="43351F14" w14:textId="2F28D245" w:rsidR="00186A32" w:rsidRPr="00903004" w:rsidRDefault="00186A32" w:rsidP="00186A32">
      <w:pPr>
        <w:pStyle w:val="FootnoteText"/>
        <w:rPr>
          <w:rFonts w:ascii="Times New Roman" w:hAnsi="Times New Roman" w:cs="Times New Roman"/>
          <w:sz w:val="24"/>
          <w:szCs w:val="24"/>
        </w:rPr>
      </w:pPr>
      <w:r w:rsidRPr="00903004">
        <w:rPr>
          <w:rStyle w:val="FootnoteReference"/>
          <w:rFonts w:ascii="Times New Roman" w:hAnsi="Times New Roman" w:cs="Times New Roman"/>
          <w:sz w:val="24"/>
          <w:szCs w:val="24"/>
        </w:rPr>
        <w:footnoteRef/>
      </w:r>
      <w:r w:rsidRPr="00903004">
        <w:rPr>
          <w:rFonts w:ascii="Times New Roman" w:hAnsi="Times New Roman" w:cs="Times New Roman"/>
          <w:sz w:val="24"/>
          <w:szCs w:val="24"/>
        </w:rPr>
        <w:t xml:space="preserve"> </w:t>
      </w:r>
      <w:r w:rsidR="00AD6BE0">
        <w:rPr>
          <w:rFonts w:ascii="Times New Roman" w:hAnsi="Times New Roman" w:cs="Times New Roman"/>
          <w:i/>
          <w:iCs/>
          <w:sz w:val="24"/>
          <w:szCs w:val="24"/>
        </w:rPr>
        <w:t xml:space="preserve">RPD </w:t>
      </w:r>
      <w:r w:rsidR="004506A0">
        <w:rPr>
          <w:rFonts w:ascii="Times New Roman" w:hAnsi="Times New Roman" w:cs="Times New Roman"/>
          <w:i/>
          <w:iCs/>
          <w:sz w:val="24"/>
          <w:szCs w:val="24"/>
        </w:rPr>
        <w:t>Reaso</w:t>
      </w:r>
      <w:r w:rsidR="00AD6BE0">
        <w:rPr>
          <w:rFonts w:ascii="Times New Roman" w:hAnsi="Times New Roman" w:cs="Times New Roman"/>
          <w:i/>
          <w:iCs/>
          <w:sz w:val="24"/>
          <w:szCs w:val="24"/>
        </w:rPr>
        <w:t>n</w:t>
      </w:r>
      <w:r w:rsidR="004506A0">
        <w:rPr>
          <w:rFonts w:ascii="Times New Roman" w:hAnsi="Times New Roman" w:cs="Times New Roman"/>
          <w:i/>
          <w:iCs/>
          <w:sz w:val="24"/>
          <w:szCs w:val="24"/>
        </w:rPr>
        <w:t>s</w:t>
      </w:r>
      <w:r w:rsidR="00AD6BE0">
        <w:rPr>
          <w:rFonts w:ascii="Times New Roman" w:hAnsi="Times New Roman" w:cs="Times New Roman"/>
          <w:i/>
          <w:iCs/>
          <w:sz w:val="24"/>
          <w:szCs w:val="24"/>
        </w:rPr>
        <w:t>, s</w:t>
      </w:r>
      <w:r w:rsidRPr="00903004">
        <w:rPr>
          <w:rFonts w:ascii="Times New Roman" w:hAnsi="Times New Roman" w:cs="Times New Roman"/>
          <w:i/>
          <w:iCs/>
          <w:sz w:val="24"/>
          <w:szCs w:val="24"/>
        </w:rPr>
        <w:t>upra</w:t>
      </w:r>
      <w:r w:rsidRPr="00903004">
        <w:rPr>
          <w:rFonts w:ascii="Times New Roman" w:hAnsi="Times New Roman" w:cs="Times New Roman"/>
          <w:sz w:val="24"/>
          <w:szCs w:val="24"/>
        </w:rPr>
        <w:t xml:space="preserve"> note </w:t>
      </w:r>
      <w:r w:rsidR="004506A0">
        <w:rPr>
          <w:rFonts w:ascii="Times New Roman" w:hAnsi="Times New Roman" w:cs="Times New Roman"/>
          <w:sz w:val="24"/>
          <w:szCs w:val="24"/>
        </w:rPr>
        <w:t>4</w:t>
      </w:r>
      <w:r w:rsidRPr="00903004">
        <w:rPr>
          <w:rFonts w:ascii="Times New Roman" w:hAnsi="Times New Roman" w:cs="Times New Roman"/>
          <w:sz w:val="24"/>
          <w:szCs w:val="24"/>
        </w:rPr>
        <w:t xml:space="preserve"> at para 32. </w:t>
      </w:r>
    </w:p>
  </w:footnote>
  <w:footnote w:id="54">
    <w:p w14:paraId="748EC2AC" w14:textId="728A709B" w:rsidR="0039293E" w:rsidRPr="005875AB" w:rsidRDefault="0039293E" w:rsidP="0039293E">
      <w:pPr>
        <w:pStyle w:val="FootnoteText"/>
        <w:rPr>
          <w:rFonts w:ascii="Times New Roman" w:hAnsi="Times New Roman" w:cs="Times New Roman"/>
        </w:rPr>
      </w:pPr>
      <w:r w:rsidRPr="00903004">
        <w:rPr>
          <w:rStyle w:val="FootnoteReference"/>
          <w:rFonts w:ascii="Times New Roman" w:hAnsi="Times New Roman" w:cs="Times New Roman"/>
          <w:sz w:val="24"/>
          <w:szCs w:val="24"/>
        </w:rPr>
        <w:footnoteRef/>
      </w:r>
      <w:r w:rsidRPr="00903004">
        <w:rPr>
          <w:rFonts w:ascii="Times New Roman" w:hAnsi="Times New Roman" w:cs="Times New Roman"/>
          <w:sz w:val="24"/>
          <w:szCs w:val="24"/>
        </w:rPr>
        <w:t xml:space="preserve"> </w:t>
      </w:r>
      <w:r w:rsidR="00346B3E">
        <w:rPr>
          <w:rFonts w:ascii="Times New Roman" w:hAnsi="Times New Roman" w:cs="Times New Roman"/>
          <w:i/>
          <w:iCs/>
          <w:sz w:val="24"/>
          <w:szCs w:val="24"/>
        </w:rPr>
        <w:t>Ibid</w:t>
      </w:r>
      <w:r w:rsidRPr="00903004">
        <w:rPr>
          <w:rFonts w:ascii="Times New Roman" w:hAnsi="Times New Roman" w:cs="Times New Roman"/>
          <w:sz w:val="24"/>
          <w:szCs w:val="24"/>
        </w:rPr>
        <w:t xml:space="preserve"> at para 43.</w:t>
      </w:r>
      <w:r>
        <w:rPr>
          <w:rFonts w:ascii="Times New Roman" w:hAnsi="Times New Roman" w:cs="Times New Roman"/>
          <w:sz w:val="24"/>
          <w:szCs w:val="24"/>
        </w:rPr>
        <w:t xml:space="preserve"> </w:t>
      </w:r>
    </w:p>
  </w:footnote>
  <w:footnote w:id="55">
    <w:p w14:paraId="59349E7F" w14:textId="1AE5B941" w:rsidR="00CC140A" w:rsidRPr="007C3B54" w:rsidRDefault="00CC140A">
      <w:pPr>
        <w:pStyle w:val="FootnoteText"/>
        <w:rPr>
          <w:sz w:val="24"/>
          <w:szCs w:val="24"/>
        </w:rPr>
      </w:pPr>
      <w:r w:rsidRPr="007C3B54">
        <w:rPr>
          <w:rStyle w:val="FootnoteReference"/>
          <w:sz w:val="24"/>
          <w:szCs w:val="24"/>
        </w:rPr>
        <w:footnoteRef/>
      </w:r>
      <w:r w:rsidRPr="007C3B54">
        <w:rPr>
          <w:sz w:val="24"/>
          <w:szCs w:val="24"/>
        </w:rPr>
        <w:t xml:space="preserve"> </w:t>
      </w:r>
      <w:r w:rsidRPr="007C3B54">
        <w:rPr>
          <w:rFonts w:ascii="Times New Roman" w:hAnsi="Times New Roman" w:cs="Times New Roman"/>
          <w:i/>
          <w:iCs/>
          <w:sz w:val="24"/>
          <w:szCs w:val="24"/>
        </w:rPr>
        <w:t xml:space="preserve">Chairperson’s Guidelines, supra </w:t>
      </w:r>
      <w:r w:rsidRPr="00C2020B">
        <w:rPr>
          <w:rFonts w:ascii="Times New Roman" w:hAnsi="Times New Roman" w:cs="Times New Roman"/>
          <w:sz w:val="24"/>
          <w:szCs w:val="24"/>
        </w:rPr>
        <w:t xml:space="preserve">note </w:t>
      </w:r>
      <w:r w:rsidR="00502607">
        <w:rPr>
          <w:rFonts w:ascii="Times New Roman" w:hAnsi="Times New Roman" w:cs="Times New Roman"/>
          <w:sz w:val="24"/>
          <w:szCs w:val="24"/>
        </w:rPr>
        <w:t>2</w:t>
      </w:r>
      <w:r w:rsidRPr="007C3B54">
        <w:rPr>
          <w:rFonts w:ascii="Times New Roman" w:hAnsi="Times New Roman" w:cs="Times New Roman"/>
          <w:sz w:val="24"/>
          <w:szCs w:val="24"/>
        </w:rPr>
        <w:t xml:space="preserve"> s</w:t>
      </w:r>
      <w:r w:rsidR="00780AC5">
        <w:rPr>
          <w:rFonts w:ascii="Times New Roman" w:hAnsi="Times New Roman" w:cs="Times New Roman"/>
          <w:sz w:val="24"/>
          <w:szCs w:val="24"/>
        </w:rPr>
        <w:t xml:space="preserve"> </w:t>
      </w:r>
      <w:r w:rsidRPr="007C3B54">
        <w:rPr>
          <w:rFonts w:ascii="Times New Roman" w:hAnsi="Times New Roman" w:cs="Times New Roman"/>
          <w:sz w:val="24"/>
          <w:szCs w:val="24"/>
        </w:rPr>
        <w:t xml:space="preserve">7.4.  </w:t>
      </w:r>
    </w:p>
  </w:footnote>
  <w:footnote w:id="56">
    <w:p w14:paraId="3C4A5443" w14:textId="5323A74A" w:rsidR="0039293E" w:rsidRPr="007C3B54" w:rsidRDefault="0039293E" w:rsidP="0039293E">
      <w:pPr>
        <w:pStyle w:val="FootnoteText"/>
        <w:rPr>
          <w:rFonts w:ascii="Times New Roman" w:hAnsi="Times New Roman" w:cs="Times New Roman"/>
          <w:sz w:val="24"/>
          <w:szCs w:val="24"/>
        </w:rPr>
      </w:pPr>
      <w:r w:rsidRPr="007C3B54">
        <w:rPr>
          <w:rStyle w:val="FootnoteReference"/>
          <w:rFonts w:ascii="Times New Roman" w:hAnsi="Times New Roman" w:cs="Times New Roman"/>
          <w:sz w:val="24"/>
          <w:szCs w:val="24"/>
        </w:rPr>
        <w:footnoteRef/>
      </w:r>
      <w:r w:rsidRPr="007C3B54">
        <w:rPr>
          <w:rFonts w:ascii="Times New Roman" w:hAnsi="Times New Roman" w:cs="Times New Roman"/>
          <w:sz w:val="24"/>
          <w:szCs w:val="24"/>
        </w:rPr>
        <w:t xml:space="preserve"> </w:t>
      </w:r>
      <w:r w:rsidRPr="007C3B54">
        <w:rPr>
          <w:rFonts w:ascii="Times New Roman" w:hAnsi="Times New Roman" w:cs="Times New Roman"/>
          <w:i/>
          <w:iCs/>
          <w:sz w:val="24"/>
          <w:szCs w:val="24"/>
        </w:rPr>
        <w:t xml:space="preserve">Maldonado v Minister of Employment and Immigration, </w:t>
      </w:r>
      <w:r w:rsidRPr="007C3B54">
        <w:rPr>
          <w:rFonts w:ascii="Times New Roman" w:hAnsi="Times New Roman" w:cs="Times New Roman"/>
          <w:sz w:val="24"/>
          <w:szCs w:val="24"/>
        </w:rPr>
        <w:t>1979 CanLII 4098 (FCA), [1980] 2 FC 302,</w:t>
      </w:r>
      <w:r>
        <w:rPr>
          <w:rFonts w:ascii="Times New Roman" w:hAnsi="Times New Roman" w:cs="Times New Roman"/>
          <w:sz w:val="24"/>
          <w:szCs w:val="24"/>
        </w:rPr>
        <w:t xml:space="preserve"> </w:t>
      </w:r>
      <w:r w:rsidRPr="007C3B54">
        <w:rPr>
          <w:rFonts w:ascii="Times New Roman" w:hAnsi="Times New Roman" w:cs="Times New Roman"/>
          <w:sz w:val="24"/>
          <w:szCs w:val="24"/>
        </w:rPr>
        <w:t>[</w:t>
      </w:r>
      <w:r w:rsidRPr="007C3B54">
        <w:rPr>
          <w:rFonts w:ascii="Times New Roman" w:hAnsi="Times New Roman" w:cs="Times New Roman"/>
          <w:i/>
          <w:iCs/>
          <w:sz w:val="24"/>
          <w:szCs w:val="24"/>
        </w:rPr>
        <w:t>Maldonado</w:t>
      </w:r>
      <w:r w:rsidRPr="007C3B54">
        <w:rPr>
          <w:rFonts w:ascii="Times New Roman" w:hAnsi="Times New Roman" w:cs="Times New Roman"/>
          <w:sz w:val="24"/>
          <w:szCs w:val="24"/>
        </w:rPr>
        <w:t>]</w:t>
      </w:r>
      <w:r>
        <w:rPr>
          <w:rFonts w:ascii="Times New Roman" w:hAnsi="Times New Roman" w:cs="Times New Roman"/>
          <w:sz w:val="24"/>
          <w:szCs w:val="24"/>
        </w:rPr>
        <w:t xml:space="preserve">; </w:t>
      </w:r>
      <w:r w:rsidRPr="007C3B54">
        <w:rPr>
          <w:rFonts w:ascii="Times New Roman" w:hAnsi="Times New Roman" w:cs="Times New Roman"/>
          <w:i/>
          <w:iCs/>
          <w:sz w:val="24"/>
          <w:szCs w:val="24"/>
        </w:rPr>
        <w:t xml:space="preserve">Sheikh v. Canada (Minister of Citizenship and Immigration), </w:t>
      </w:r>
      <w:r w:rsidRPr="008E6F5A">
        <w:rPr>
          <w:rFonts w:ascii="Times New Roman" w:hAnsi="Times New Roman" w:cs="Times New Roman"/>
          <w:sz w:val="24"/>
          <w:szCs w:val="24"/>
        </w:rPr>
        <w:t>2000 15200 (FC)</w:t>
      </w:r>
      <w:r w:rsidRPr="007C3B54">
        <w:rPr>
          <w:rFonts w:ascii="Times New Roman" w:hAnsi="Times New Roman" w:cs="Times New Roman"/>
          <w:i/>
          <w:iCs/>
          <w:sz w:val="24"/>
          <w:szCs w:val="24"/>
        </w:rPr>
        <w:t xml:space="preserve">, </w:t>
      </w:r>
      <w:r w:rsidRPr="007C3B54">
        <w:rPr>
          <w:rFonts w:ascii="Times New Roman" w:hAnsi="Times New Roman" w:cs="Times New Roman"/>
          <w:sz w:val="24"/>
          <w:szCs w:val="24"/>
        </w:rPr>
        <w:t>at para 23 [</w:t>
      </w:r>
      <w:r w:rsidRPr="007C3B54">
        <w:rPr>
          <w:rFonts w:ascii="Times New Roman" w:hAnsi="Times New Roman" w:cs="Times New Roman"/>
          <w:i/>
          <w:iCs/>
          <w:sz w:val="24"/>
          <w:szCs w:val="24"/>
        </w:rPr>
        <w:t>Sheikh</w:t>
      </w:r>
      <w:r w:rsidRPr="007C3B54">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333E"/>
    <w:multiLevelType w:val="multilevel"/>
    <w:tmpl w:val="528AE654"/>
    <w:styleLink w:val="CurrentList1"/>
    <w:lvl w:ilvl="0">
      <w:numFmt w:val="decimal"/>
      <w:lvlText w:val="%1."/>
      <w:lvlJc w:val="left"/>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73497E"/>
    <w:multiLevelType w:val="multilevel"/>
    <w:tmpl w:val="9FF629F2"/>
    <w:lvl w:ilvl="0">
      <w:start w:val="1"/>
      <w:numFmt w:val="decimal"/>
      <w:lvlText w:val="%1."/>
      <w:lvlJc w:val="left"/>
      <w:pPr>
        <w:ind w:left="360" w:hanging="360"/>
      </w:pPr>
      <w:rPr>
        <w:rFonts w:ascii="Times New Roman" w:hAnsi="Times New Roman" w:cs="Times New Roman" w:hint="default"/>
        <w:b w:val="0"/>
        <w:bCs w:val="0"/>
        <w:i w:val="0"/>
        <w:iCs w:val="0"/>
      </w:rPr>
    </w:lvl>
    <w:lvl w:ilvl="1">
      <w:start w:val="1"/>
      <w:numFmt w:val="lowerLetter"/>
      <w:lvlText w:val="%2)"/>
      <w:lvlJc w:val="left"/>
      <w:pPr>
        <w:ind w:left="1440" w:hanging="360"/>
      </w:pPr>
      <w:rPr>
        <w:b w:val="0"/>
        <w:bCs w:val="0"/>
      </w:r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 w15:restartNumberingAfterBreak="0">
    <w:nsid w:val="2247369E"/>
    <w:multiLevelType w:val="multilevel"/>
    <w:tmpl w:val="2B8615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6862A7A"/>
    <w:multiLevelType w:val="multilevel"/>
    <w:tmpl w:val="8A1A7644"/>
    <w:styleLink w:val="Current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AC1976"/>
    <w:multiLevelType w:val="multilevel"/>
    <w:tmpl w:val="9FF629F2"/>
    <w:lvl w:ilvl="0">
      <w:start w:val="1"/>
      <w:numFmt w:val="decimal"/>
      <w:lvlText w:val="%1."/>
      <w:lvlJc w:val="left"/>
      <w:pPr>
        <w:ind w:left="360" w:hanging="360"/>
      </w:pPr>
      <w:rPr>
        <w:rFonts w:ascii="Times New Roman" w:hAnsi="Times New Roman" w:cs="Times New Roman" w:hint="default"/>
        <w:b w:val="0"/>
        <w:bCs w:val="0"/>
        <w:i w:val="0"/>
        <w:iCs w:val="0"/>
      </w:rPr>
    </w:lvl>
    <w:lvl w:ilvl="1">
      <w:start w:val="1"/>
      <w:numFmt w:val="lowerLetter"/>
      <w:lvlText w:val="%2)"/>
      <w:lvlJc w:val="left"/>
      <w:pPr>
        <w:ind w:left="1440" w:hanging="360"/>
      </w:pPr>
      <w:rPr>
        <w:b w:val="0"/>
        <w:bCs w:val="0"/>
      </w:r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15:restartNumberingAfterBreak="0">
    <w:nsid w:val="536F1F12"/>
    <w:multiLevelType w:val="hybridMultilevel"/>
    <w:tmpl w:val="014E57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A1A27FE"/>
    <w:multiLevelType w:val="hybridMultilevel"/>
    <w:tmpl w:val="18388A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62046418">
    <w:abstractNumId w:val="0"/>
  </w:num>
  <w:num w:numId="2" w16cid:durableId="1187518485">
    <w:abstractNumId w:val="3"/>
  </w:num>
  <w:num w:numId="3" w16cid:durableId="124544768">
    <w:abstractNumId w:val="4"/>
  </w:num>
  <w:num w:numId="4" w16cid:durableId="911356035">
    <w:abstractNumId w:val="5"/>
  </w:num>
  <w:num w:numId="5" w16cid:durableId="1518351421">
    <w:abstractNumId w:val="2"/>
  </w:num>
  <w:num w:numId="6" w16cid:durableId="879394457">
    <w:abstractNumId w:val="1"/>
  </w:num>
  <w:num w:numId="7" w16cid:durableId="80061255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65"/>
    <w:rsid w:val="00000CDF"/>
    <w:rsid w:val="000030D8"/>
    <w:rsid w:val="0000396E"/>
    <w:rsid w:val="00004E7F"/>
    <w:rsid w:val="00007C2B"/>
    <w:rsid w:val="0001098D"/>
    <w:rsid w:val="00012155"/>
    <w:rsid w:val="0001281D"/>
    <w:rsid w:val="00012954"/>
    <w:rsid w:val="00013103"/>
    <w:rsid w:val="00014830"/>
    <w:rsid w:val="00021021"/>
    <w:rsid w:val="0002203C"/>
    <w:rsid w:val="00022060"/>
    <w:rsid w:val="00022710"/>
    <w:rsid w:val="000229D3"/>
    <w:rsid w:val="0002364D"/>
    <w:rsid w:val="0003517C"/>
    <w:rsid w:val="00036E9E"/>
    <w:rsid w:val="00041A2C"/>
    <w:rsid w:val="000428B8"/>
    <w:rsid w:val="00043006"/>
    <w:rsid w:val="00043012"/>
    <w:rsid w:val="000463FE"/>
    <w:rsid w:val="00046953"/>
    <w:rsid w:val="0004711A"/>
    <w:rsid w:val="00047550"/>
    <w:rsid w:val="000503C1"/>
    <w:rsid w:val="00050539"/>
    <w:rsid w:val="00050BAB"/>
    <w:rsid w:val="0005183E"/>
    <w:rsid w:val="00052372"/>
    <w:rsid w:val="00052BDD"/>
    <w:rsid w:val="00054087"/>
    <w:rsid w:val="00055159"/>
    <w:rsid w:val="00055477"/>
    <w:rsid w:val="000561C5"/>
    <w:rsid w:val="00056576"/>
    <w:rsid w:val="00057DB2"/>
    <w:rsid w:val="00061087"/>
    <w:rsid w:val="0006183F"/>
    <w:rsid w:val="00061A6A"/>
    <w:rsid w:val="00063147"/>
    <w:rsid w:val="00073705"/>
    <w:rsid w:val="000744FA"/>
    <w:rsid w:val="0007634B"/>
    <w:rsid w:val="00077AD9"/>
    <w:rsid w:val="00080380"/>
    <w:rsid w:val="00080F33"/>
    <w:rsid w:val="00081AF4"/>
    <w:rsid w:val="00082A8D"/>
    <w:rsid w:val="00084A5E"/>
    <w:rsid w:val="0008549E"/>
    <w:rsid w:val="00090D0A"/>
    <w:rsid w:val="00091163"/>
    <w:rsid w:val="00092810"/>
    <w:rsid w:val="00096CBC"/>
    <w:rsid w:val="000A036B"/>
    <w:rsid w:val="000A20B5"/>
    <w:rsid w:val="000A23E4"/>
    <w:rsid w:val="000A3BE4"/>
    <w:rsid w:val="000A442E"/>
    <w:rsid w:val="000A5B00"/>
    <w:rsid w:val="000A72F5"/>
    <w:rsid w:val="000B1E3D"/>
    <w:rsid w:val="000B3974"/>
    <w:rsid w:val="000B44EE"/>
    <w:rsid w:val="000C1532"/>
    <w:rsid w:val="000C4CEE"/>
    <w:rsid w:val="000C62C0"/>
    <w:rsid w:val="000C66AB"/>
    <w:rsid w:val="000C6A0B"/>
    <w:rsid w:val="000C6B72"/>
    <w:rsid w:val="000D118E"/>
    <w:rsid w:val="000D6366"/>
    <w:rsid w:val="000D76C7"/>
    <w:rsid w:val="000E0FF8"/>
    <w:rsid w:val="000E2DBA"/>
    <w:rsid w:val="000F0B6D"/>
    <w:rsid w:val="000F25B3"/>
    <w:rsid w:val="000F2C13"/>
    <w:rsid w:val="000F63B9"/>
    <w:rsid w:val="000F711D"/>
    <w:rsid w:val="000F73F4"/>
    <w:rsid w:val="000F7625"/>
    <w:rsid w:val="00102739"/>
    <w:rsid w:val="0010417D"/>
    <w:rsid w:val="00105786"/>
    <w:rsid w:val="001112E0"/>
    <w:rsid w:val="00111A27"/>
    <w:rsid w:val="00116047"/>
    <w:rsid w:val="00116760"/>
    <w:rsid w:val="00116777"/>
    <w:rsid w:val="0012336A"/>
    <w:rsid w:val="00123A3D"/>
    <w:rsid w:val="00123CA3"/>
    <w:rsid w:val="0013154A"/>
    <w:rsid w:val="0013561F"/>
    <w:rsid w:val="001375A2"/>
    <w:rsid w:val="001403DD"/>
    <w:rsid w:val="001417BD"/>
    <w:rsid w:val="00144FF1"/>
    <w:rsid w:val="001454CE"/>
    <w:rsid w:val="001473F8"/>
    <w:rsid w:val="00157A86"/>
    <w:rsid w:val="0016529E"/>
    <w:rsid w:val="00167A34"/>
    <w:rsid w:val="00167F56"/>
    <w:rsid w:val="0017280F"/>
    <w:rsid w:val="0017554A"/>
    <w:rsid w:val="0018092D"/>
    <w:rsid w:val="00186A32"/>
    <w:rsid w:val="001923FF"/>
    <w:rsid w:val="00192D15"/>
    <w:rsid w:val="00193BB5"/>
    <w:rsid w:val="00193F73"/>
    <w:rsid w:val="001964AC"/>
    <w:rsid w:val="001A06D4"/>
    <w:rsid w:val="001A1835"/>
    <w:rsid w:val="001A2302"/>
    <w:rsid w:val="001A4041"/>
    <w:rsid w:val="001A4657"/>
    <w:rsid w:val="001A7DCC"/>
    <w:rsid w:val="001B11C6"/>
    <w:rsid w:val="001B15CE"/>
    <w:rsid w:val="001B4D84"/>
    <w:rsid w:val="001B5108"/>
    <w:rsid w:val="001B5233"/>
    <w:rsid w:val="001B5A35"/>
    <w:rsid w:val="001B61C8"/>
    <w:rsid w:val="001B6D7E"/>
    <w:rsid w:val="001C0AB1"/>
    <w:rsid w:val="001C0FC8"/>
    <w:rsid w:val="001C2D57"/>
    <w:rsid w:val="001C40CA"/>
    <w:rsid w:val="001C527C"/>
    <w:rsid w:val="001C53E0"/>
    <w:rsid w:val="001C6822"/>
    <w:rsid w:val="001D1CDD"/>
    <w:rsid w:val="001D2448"/>
    <w:rsid w:val="001D2630"/>
    <w:rsid w:val="001D2765"/>
    <w:rsid w:val="001D2F86"/>
    <w:rsid w:val="001D31D9"/>
    <w:rsid w:val="001D3DDE"/>
    <w:rsid w:val="001D4C50"/>
    <w:rsid w:val="001D7534"/>
    <w:rsid w:val="001D7DE7"/>
    <w:rsid w:val="001E1D0C"/>
    <w:rsid w:val="001E22FA"/>
    <w:rsid w:val="001E3B58"/>
    <w:rsid w:val="001E5082"/>
    <w:rsid w:val="001E69EB"/>
    <w:rsid w:val="001E6C40"/>
    <w:rsid w:val="001E768A"/>
    <w:rsid w:val="001E7895"/>
    <w:rsid w:val="001E78EC"/>
    <w:rsid w:val="001F0700"/>
    <w:rsid w:val="001F469B"/>
    <w:rsid w:val="001F4B5A"/>
    <w:rsid w:val="001F502E"/>
    <w:rsid w:val="001F613A"/>
    <w:rsid w:val="001F6CB3"/>
    <w:rsid w:val="001F7F86"/>
    <w:rsid w:val="0020092F"/>
    <w:rsid w:val="00200D5F"/>
    <w:rsid w:val="00202979"/>
    <w:rsid w:val="002042A3"/>
    <w:rsid w:val="002060C9"/>
    <w:rsid w:val="00206835"/>
    <w:rsid w:val="00207028"/>
    <w:rsid w:val="00210CD9"/>
    <w:rsid w:val="002114A8"/>
    <w:rsid w:val="00212CCD"/>
    <w:rsid w:val="00213201"/>
    <w:rsid w:val="00213C80"/>
    <w:rsid w:val="00214C95"/>
    <w:rsid w:val="002206CD"/>
    <w:rsid w:val="0022163D"/>
    <w:rsid w:val="00221FAD"/>
    <w:rsid w:val="002245D7"/>
    <w:rsid w:val="002250B9"/>
    <w:rsid w:val="00225588"/>
    <w:rsid w:val="00225BC5"/>
    <w:rsid w:val="002260DF"/>
    <w:rsid w:val="00226C9E"/>
    <w:rsid w:val="00232F01"/>
    <w:rsid w:val="00233E73"/>
    <w:rsid w:val="00233F99"/>
    <w:rsid w:val="00237250"/>
    <w:rsid w:val="002418FF"/>
    <w:rsid w:val="002425B4"/>
    <w:rsid w:val="00244060"/>
    <w:rsid w:val="00244251"/>
    <w:rsid w:val="002454F3"/>
    <w:rsid w:val="00246FE2"/>
    <w:rsid w:val="002475F9"/>
    <w:rsid w:val="00251A57"/>
    <w:rsid w:val="00253D88"/>
    <w:rsid w:val="0025414D"/>
    <w:rsid w:val="00254D7D"/>
    <w:rsid w:val="00256193"/>
    <w:rsid w:val="002577CF"/>
    <w:rsid w:val="00260E48"/>
    <w:rsid w:val="00261E9B"/>
    <w:rsid w:val="0026267E"/>
    <w:rsid w:val="00262FAD"/>
    <w:rsid w:val="002637A2"/>
    <w:rsid w:val="00263906"/>
    <w:rsid w:val="00267F87"/>
    <w:rsid w:val="00271711"/>
    <w:rsid w:val="00271D50"/>
    <w:rsid w:val="00272011"/>
    <w:rsid w:val="002743A5"/>
    <w:rsid w:val="00274E7E"/>
    <w:rsid w:val="00277B20"/>
    <w:rsid w:val="00282872"/>
    <w:rsid w:val="00282974"/>
    <w:rsid w:val="002837CB"/>
    <w:rsid w:val="00283CF0"/>
    <w:rsid w:val="0028409F"/>
    <w:rsid w:val="00285364"/>
    <w:rsid w:val="00286894"/>
    <w:rsid w:val="00286B7E"/>
    <w:rsid w:val="00286E4D"/>
    <w:rsid w:val="00286E52"/>
    <w:rsid w:val="00292758"/>
    <w:rsid w:val="002A01DE"/>
    <w:rsid w:val="002A0378"/>
    <w:rsid w:val="002A04AB"/>
    <w:rsid w:val="002A29C8"/>
    <w:rsid w:val="002A32B0"/>
    <w:rsid w:val="002A32EC"/>
    <w:rsid w:val="002A5C4D"/>
    <w:rsid w:val="002A7043"/>
    <w:rsid w:val="002A77C0"/>
    <w:rsid w:val="002A7B7D"/>
    <w:rsid w:val="002A7E32"/>
    <w:rsid w:val="002B5DBA"/>
    <w:rsid w:val="002B63F9"/>
    <w:rsid w:val="002B7A7E"/>
    <w:rsid w:val="002C2AED"/>
    <w:rsid w:val="002C544D"/>
    <w:rsid w:val="002C54D8"/>
    <w:rsid w:val="002D2B70"/>
    <w:rsid w:val="002D3A5E"/>
    <w:rsid w:val="002D4884"/>
    <w:rsid w:val="002D7362"/>
    <w:rsid w:val="002D7667"/>
    <w:rsid w:val="002E04BB"/>
    <w:rsid w:val="002E0C29"/>
    <w:rsid w:val="002E2C1E"/>
    <w:rsid w:val="002E3371"/>
    <w:rsid w:val="002E3DEF"/>
    <w:rsid w:val="002E42E2"/>
    <w:rsid w:val="002E45C7"/>
    <w:rsid w:val="002E5D62"/>
    <w:rsid w:val="002E5DA4"/>
    <w:rsid w:val="002E6E01"/>
    <w:rsid w:val="002F2845"/>
    <w:rsid w:val="002F3418"/>
    <w:rsid w:val="002F3DB6"/>
    <w:rsid w:val="002F3E7E"/>
    <w:rsid w:val="002F537E"/>
    <w:rsid w:val="002F7459"/>
    <w:rsid w:val="0030061F"/>
    <w:rsid w:val="00301691"/>
    <w:rsid w:val="0030264F"/>
    <w:rsid w:val="00302C3B"/>
    <w:rsid w:val="00302CA0"/>
    <w:rsid w:val="00302F04"/>
    <w:rsid w:val="0030368A"/>
    <w:rsid w:val="00303E50"/>
    <w:rsid w:val="00303F62"/>
    <w:rsid w:val="00304DCD"/>
    <w:rsid w:val="00306334"/>
    <w:rsid w:val="00307EBE"/>
    <w:rsid w:val="00310024"/>
    <w:rsid w:val="00313EED"/>
    <w:rsid w:val="003163F8"/>
    <w:rsid w:val="0032151F"/>
    <w:rsid w:val="003263BF"/>
    <w:rsid w:val="00331203"/>
    <w:rsid w:val="003312A6"/>
    <w:rsid w:val="0033565B"/>
    <w:rsid w:val="00337086"/>
    <w:rsid w:val="00337624"/>
    <w:rsid w:val="003378E3"/>
    <w:rsid w:val="00337A53"/>
    <w:rsid w:val="0034032B"/>
    <w:rsid w:val="00342BFD"/>
    <w:rsid w:val="00345DBA"/>
    <w:rsid w:val="00346B3E"/>
    <w:rsid w:val="00347333"/>
    <w:rsid w:val="00347A42"/>
    <w:rsid w:val="003501E0"/>
    <w:rsid w:val="003512EE"/>
    <w:rsid w:val="00352002"/>
    <w:rsid w:val="00352B56"/>
    <w:rsid w:val="003537FA"/>
    <w:rsid w:val="003544FE"/>
    <w:rsid w:val="00354A8E"/>
    <w:rsid w:val="00355E1C"/>
    <w:rsid w:val="00355EB2"/>
    <w:rsid w:val="00357438"/>
    <w:rsid w:val="0036273A"/>
    <w:rsid w:val="003642B8"/>
    <w:rsid w:val="003645DA"/>
    <w:rsid w:val="00364733"/>
    <w:rsid w:val="00366D0D"/>
    <w:rsid w:val="00366D12"/>
    <w:rsid w:val="0036726F"/>
    <w:rsid w:val="00367BFA"/>
    <w:rsid w:val="003708C9"/>
    <w:rsid w:val="003723E8"/>
    <w:rsid w:val="00372E72"/>
    <w:rsid w:val="00373245"/>
    <w:rsid w:val="0037357B"/>
    <w:rsid w:val="00374232"/>
    <w:rsid w:val="00374A4B"/>
    <w:rsid w:val="0037568B"/>
    <w:rsid w:val="00376157"/>
    <w:rsid w:val="00377B0F"/>
    <w:rsid w:val="00383E71"/>
    <w:rsid w:val="0038727F"/>
    <w:rsid w:val="00391AF8"/>
    <w:rsid w:val="0039293E"/>
    <w:rsid w:val="00396DC6"/>
    <w:rsid w:val="003A02AB"/>
    <w:rsid w:val="003A0994"/>
    <w:rsid w:val="003A0ED5"/>
    <w:rsid w:val="003A3139"/>
    <w:rsid w:val="003A33AB"/>
    <w:rsid w:val="003A3838"/>
    <w:rsid w:val="003A3D77"/>
    <w:rsid w:val="003A5523"/>
    <w:rsid w:val="003A6B47"/>
    <w:rsid w:val="003B18C5"/>
    <w:rsid w:val="003B1C44"/>
    <w:rsid w:val="003B1FE3"/>
    <w:rsid w:val="003B39DA"/>
    <w:rsid w:val="003B52D4"/>
    <w:rsid w:val="003B55EA"/>
    <w:rsid w:val="003B6219"/>
    <w:rsid w:val="003C2E9B"/>
    <w:rsid w:val="003C34B4"/>
    <w:rsid w:val="003C580F"/>
    <w:rsid w:val="003C6F61"/>
    <w:rsid w:val="003D1A2D"/>
    <w:rsid w:val="003D2178"/>
    <w:rsid w:val="003D52C3"/>
    <w:rsid w:val="003D7EF9"/>
    <w:rsid w:val="003E03C6"/>
    <w:rsid w:val="003E286D"/>
    <w:rsid w:val="003E4CBD"/>
    <w:rsid w:val="003E69AB"/>
    <w:rsid w:val="003F39CB"/>
    <w:rsid w:val="003F3A53"/>
    <w:rsid w:val="003F4FA9"/>
    <w:rsid w:val="003F6702"/>
    <w:rsid w:val="003F6C2C"/>
    <w:rsid w:val="003F752A"/>
    <w:rsid w:val="004018F9"/>
    <w:rsid w:val="00401CA7"/>
    <w:rsid w:val="00402398"/>
    <w:rsid w:val="00403144"/>
    <w:rsid w:val="00403827"/>
    <w:rsid w:val="00407D1F"/>
    <w:rsid w:val="004102B6"/>
    <w:rsid w:val="004102C7"/>
    <w:rsid w:val="0041116B"/>
    <w:rsid w:val="00416C50"/>
    <w:rsid w:val="00420425"/>
    <w:rsid w:val="004213CF"/>
    <w:rsid w:val="00421BFC"/>
    <w:rsid w:val="00423B59"/>
    <w:rsid w:val="00425FB3"/>
    <w:rsid w:val="00426E3E"/>
    <w:rsid w:val="00427121"/>
    <w:rsid w:val="004300FB"/>
    <w:rsid w:val="004327F3"/>
    <w:rsid w:val="00433494"/>
    <w:rsid w:val="00434380"/>
    <w:rsid w:val="0043561E"/>
    <w:rsid w:val="0043678E"/>
    <w:rsid w:val="00440B53"/>
    <w:rsid w:val="00441C0C"/>
    <w:rsid w:val="00442518"/>
    <w:rsid w:val="0044374B"/>
    <w:rsid w:val="00443862"/>
    <w:rsid w:val="004452A1"/>
    <w:rsid w:val="004458C5"/>
    <w:rsid w:val="004460DA"/>
    <w:rsid w:val="004473A9"/>
    <w:rsid w:val="004473BB"/>
    <w:rsid w:val="004474D5"/>
    <w:rsid w:val="004476C5"/>
    <w:rsid w:val="004506A0"/>
    <w:rsid w:val="0045139D"/>
    <w:rsid w:val="00451B01"/>
    <w:rsid w:val="00451B4A"/>
    <w:rsid w:val="00454164"/>
    <w:rsid w:val="004549B6"/>
    <w:rsid w:val="00455985"/>
    <w:rsid w:val="00455C2F"/>
    <w:rsid w:val="004577C7"/>
    <w:rsid w:val="00460C7C"/>
    <w:rsid w:val="00461F92"/>
    <w:rsid w:val="004629A6"/>
    <w:rsid w:val="00462E2D"/>
    <w:rsid w:val="004645BB"/>
    <w:rsid w:val="00464ADC"/>
    <w:rsid w:val="00465078"/>
    <w:rsid w:val="004704F9"/>
    <w:rsid w:val="00471958"/>
    <w:rsid w:val="00471E8D"/>
    <w:rsid w:val="00473208"/>
    <w:rsid w:val="00474FD7"/>
    <w:rsid w:val="004754C9"/>
    <w:rsid w:val="00475AB3"/>
    <w:rsid w:val="00477495"/>
    <w:rsid w:val="004776B5"/>
    <w:rsid w:val="004814BA"/>
    <w:rsid w:val="004821DB"/>
    <w:rsid w:val="0048295C"/>
    <w:rsid w:val="00483B55"/>
    <w:rsid w:val="0048441F"/>
    <w:rsid w:val="00485118"/>
    <w:rsid w:val="0048534B"/>
    <w:rsid w:val="004854DF"/>
    <w:rsid w:val="00485D08"/>
    <w:rsid w:val="004904B9"/>
    <w:rsid w:val="00492253"/>
    <w:rsid w:val="00495958"/>
    <w:rsid w:val="00496C88"/>
    <w:rsid w:val="00497F88"/>
    <w:rsid w:val="004A04E1"/>
    <w:rsid w:val="004A2266"/>
    <w:rsid w:val="004A3FC6"/>
    <w:rsid w:val="004A4D79"/>
    <w:rsid w:val="004A5C85"/>
    <w:rsid w:val="004A5E1B"/>
    <w:rsid w:val="004A6F62"/>
    <w:rsid w:val="004B100F"/>
    <w:rsid w:val="004B28E4"/>
    <w:rsid w:val="004B58BD"/>
    <w:rsid w:val="004B5B1D"/>
    <w:rsid w:val="004C093D"/>
    <w:rsid w:val="004C0AA3"/>
    <w:rsid w:val="004C2175"/>
    <w:rsid w:val="004C2B7A"/>
    <w:rsid w:val="004C31B0"/>
    <w:rsid w:val="004C3E8D"/>
    <w:rsid w:val="004C6B7E"/>
    <w:rsid w:val="004C7609"/>
    <w:rsid w:val="004D0551"/>
    <w:rsid w:val="004D076C"/>
    <w:rsid w:val="004D0817"/>
    <w:rsid w:val="004D0FE3"/>
    <w:rsid w:val="004D1873"/>
    <w:rsid w:val="004D3FB8"/>
    <w:rsid w:val="004D62B7"/>
    <w:rsid w:val="004D6E32"/>
    <w:rsid w:val="004E0750"/>
    <w:rsid w:val="004E20F9"/>
    <w:rsid w:val="004E2B29"/>
    <w:rsid w:val="004E3A33"/>
    <w:rsid w:val="004E410A"/>
    <w:rsid w:val="004E4A50"/>
    <w:rsid w:val="004E4F54"/>
    <w:rsid w:val="004E621E"/>
    <w:rsid w:val="004E72BB"/>
    <w:rsid w:val="004F0321"/>
    <w:rsid w:val="004F2EAF"/>
    <w:rsid w:val="004F3DC0"/>
    <w:rsid w:val="004F4499"/>
    <w:rsid w:val="004F4EB7"/>
    <w:rsid w:val="004F534D"/>
    <w:rsid w:val="004F546F"/>
    <w:rsid w:val="0050097F"/>
    <w:rsid w:val="00501BA3"/>
    <w:rsid w:val="00502607"/>
    <w:rsid w:val="0050488D"/>
    <w:rsid w:val="00507239"/>
    <w:rsid w:val="00511ECD"/>
    <w:rsid w:val="00512017"/>
    <w:rsid w:val="00512E9D"/>
    <w:rsid w:val="00512F30"/>
    <w:rsid w:val="0052084F"/>
    <w:rsid w:val="00521807"/>
    <w:rsid w:val="00523B7C"/>
    <w:rsid w:val="00524220"/>
    <w:rsid w:val="00525128"/>
    <w:rsid w:val="00526624"/>
    <w:rsid w:val="00526B6D"/>
    <w:rsid w:val="005305FC"/>
    <w:rsid w:val="0053083E"/>
    <w:rsid w:val="00532316"/>
    <w:rsid w:val="0053344A"/>
    <w:rsid w:val="00533D03"/>
    <w:rsid w:val="005340FB"/>
    <w:rsid w:val="00535448"/>
    <w:rsid w:val="00537590"/>
    <w:rsid w:val="00543B12"/>
    <w:rsid w:val="005441B5"/>
    <w:rsid w:val="00545A30"/>
    <w:rsid w:val="00545C23"/>
    <w:rsid w:val="00547CF1"/>
    <w:rsid w:val="00550C45"/>
    <w:rsid w:val="00556D6A"/>
    <w:rsid w:val="005571BF"/>
    <w:rsid w:val="00561B9F"/>
    <w:rsid w:val="005622D5"/>
    <w:rsid w:val="005624A1"/>
    <w:rsid w:val="0056250D"/>
    <w:rsid w:val="00563DC0"/>
    <w:rsid w:val="00565AF1"/>
    <w:rsid w:val="005664AD"/>
    <w:rsid w:val="005670E2"/>
    <w:rsid w:val="00567567"/>
    <w:rsid w:val="005701E6"/>
    <w:rsid w:val="0057049E"/>
    <w:rsid w:val="005714F8"/>
    <w:rsid w:val="00571759"/>
    <w:rsid w:val="00574DF7"/>
    <w:rsid w:val="00580295"/>
    <w:rsid w:val="005818EA"/>
    <w:rsid w:val="00582781"/>
    <w:rsid w:val="0058742E"/>
    <w:rsid w:val="00591265"/>
    <w:rsid w:val="00593687"/>
    <w:rsid w:val="0059399B"/>
    <w:rsid w:val="00596A83"/>
    <w:rsid w:val="00597DCA"/>
    <w:rsid w:val="005A0CEE"/>
    <w:rsid w:val="005A36A3"/>
    <w:rsid w:val="005A4417"/>
    <w:rsid w:val="005A5D8C"/>
    <w:rsid w:val="005B117A"/>
    <w:rsid w:val="005B180B"/>
    <w:rsid w:val="005B4C7E"/>
    <w:rsid w:val="005B65DA"/>
    <w:rsid w:val="005C1DC0"/>
    <w:rsid w:val="005C2E22"/>
    <w:rsid w:val="005C46A2"/>
    <w:rsid w:val="005C4BE6"/>
    <w:rsid w:val="005C4F5F"/>
    <w:rsid w:val="005C50BE"/>
    <w:rsid w:val="005C55B9"/>
    <w:rsid w:val="005C64BD"/>
    <w:rsid w:val="005C6E2B"/>
    <w:rsid w:val="005D0359"/>
    <w:rsid w:val="005D051E"/>
    <w:rsid w:val="005D37E7"/>
    <w:rsid w:val="005D3D52"/>
    <w:rsid w:val="005D5D99"/>
    <w:rsid w:val="005D6612"/>
    <w:rsid w:val="005D6865"/>
    <w:rsid w:val="005E6807"/>
    <w:rsid w:val="005E7DFC"/>
    <w:rsid w:val="005F3691"/>
    <w:rsid w:val="005F497E"/>
    <w:rsid w:val="005F50B2"/>
    <w:rsid w:val="005F512B"/>
    <w:rsid w:val="005F5A52"/>
    <w:rsid w:val="005F666D"/>
    <w:rsid w:val="005F6C6B"/>
    <w:rsid w:val="005F71ED"/>
    <w:rsid w:val="005F7870"/>
    <w:rsid w:val="00600FF3"/>
    <w:rsid w:val="006013FB"/>
    <w:rsid w:val="0060234C"/>
    <w:rsid w:val="006025D6"/>
    <w:rsid w:val="00607914"/>
    <w:rsid w:val="00610768"/>
    <w:rsid w:val="006112BA"/>
    <w:rsid w:val="00611B2B"/>
    <w:rsid w:val="006139BF"/>
    <w:rsid w:val="00616E6D"/>
    <w:rsid w:val="00620077"/>
    <w:rsid w:val="006227A6"/>
    <w:rsid w:val="00622E83"/>
    <w:rsid w:val="006268B9"/>
    <w:rsid w:val="00627996"/>
    <w:rsid w:val="00630B5D"/>
    <w:rsid w:val="00632A4C"/>
    <w:rsid w:val="006344AC"/>
    <w:rsid w:val="006353F1"/>
    <w:rsid w:val="0063669E"/>
    <w:rsid w:val="00637411"/>
    <w:rsid w:val="0064151D"/>
    <w:rsid w:val="006462C5"/>
    <w:rsid w:val="006462D8"/>
    <w:rsid w:val="00650500"/>
    <w:rsid w:val="0065086D"/>
    <w:rsid w:val="0066185B"/>
    <w:rsid w:val="00661953"/>
    <w:rsid w:val="00662489"/>
    <w:rsid w:val="00662752"/>
    <w:rsid w:val="00663621"/>
    <w:rsid w:val="00663CC4"/>
    <w:rsid w:val="0066524D"/>
    <w:rsid w:val="00665FCE"/>
    <w:rsid w:val="006706A4"/>
    <w:rsid w:val="006736D2"/>
    <w:rsid w:val="00674872"/>
    <w:rsid w:val="00674ACB"/>
    <w:rsid w:val="00674D38"/>
    <w:rsid w:val="006750A0"/>
    <w:rsid w:val="00675E85"/>
    <w:rsid w:val="00676DC4"/>
    <w:rsid w:val="00677A2C"/>
    <w:rsid w:val="00677D1C"/>
    <w:rsid w:val="00680A8B"/>
    <w:rsid w:val="00680C72"/>
    <w:rsid w:val="0068278A"/>
    <w:rsid w:val="00683D6B"/>
    <w:rsid w:val="00683E32"/>
    <w:rsid w:val="006850EB"/>
    <w:rsid w:val="00686807"/>
    <w:rsid w:val="00687AAD"/>
    <w:rsid w:val="00693843"/>
    <w:rsid w:val="00695046"/>
    <w:rsid w:val="006958FA"/>
    <w:rsid w:val="00695ACF"/>
    <w:rsid w:val="00697514"/>
    <w:rsid w:val="00697B43"/>
    <w:rsid w:val="00697E84"/>
    <w:rsid w:val="006A1FD8"/>
    <w:rsid w:val="006A3A1F"/>
    <w:rsid w:val="006A4F1A"/>
    <w:rsid w:val="006A6CFB"/>
    <w:rsid w:val="006A6DDE"/>
    <w:rsid w:val="006A747B"/>
    <w:rsid w:val="006A7620"/>
    <w:rsid w:val="006A7A67"/>
    <w:rsid w:val="006B15CA"/>
    <w:rsid w:val="006B218C"/>
    <w:rsid w:val="006B26AC"/>
    <w:rsid w:val="006B2F0E"/>
    <w:rsid w:val="006B3B99"/>
    <w:rsid w:val="006B6D0F"/>
    <w:rsid w:val="006C120F"/>
    <w:rsid w:val="006C13C3"/>
    <w:rsid w:val="006C1C6F"/>
    <w:rsid w:val="006C2FEA"/>
    <w:rsid w:val="006C4285"/>
    <w:rsid w:val="006C765C"/>
    <w:rsid w:val="006D10F4"/>
    <w:rsid w:val="006D4403"/>
    <w:rsid w:val="006D5F14"/>
    <w:rsid w:val="006D643F"/>
    <w:rsid w:val="006D65B4"/>
    <w:rsid w:val="006D7075"/>
    <w:rsid w:val="006E236A"/>
    <w:rsid w:val="006E4238"/>
    <w:rsid w:val="006E5C46"/>
    <w:rsid w:val="006E6D8A"/>
    <w:rsid w:val="006E759F"/>
    <w:rsid w:val="006F047A"/>
    <w:rsid w:val="006F0745"/>
    <w:rsid w:val="006F0FC2"/>
    <w:rsid w:val="006F2082"/>
    <w:rsid w:val="006F3753"/>
    <w:rsid w:val="006F48D8"/>
    <w:rsid w:val="006F647D"/>
    <w:rsid w:val="006F6A1C"/>
    <w:rsid w:val="00700516"/>
    <w:rsid w:val="00702BF0"/>
    <w:rsid w:val="007031D6"/>
    <w:rsid w:val="00703804"/>
    <w:rsid w:val="00704B0F"/>
    <w:rsid w:val="00705322"/>
    <w:rsid w:val="0070674D"/>
    <w:rsid w:val="007110F6"/>
    <w:rsid w:val="00715225"/>
    <w:rsid w:val="00716C0E"/>
    <w:rsid w:val="00716E51"/>
    <w:rsid w:val="00717CBB"/>
    <w:rsid w:val="00720269"/>
    <w:rsid w:val="00723F7A"/>
    <w:rsid w:val="00726F60"/>
    <w:rsid w:val="00730A74"/>
    <w:rsid w:val="00732D2B"/>
    <w:rsid w:val="00736F2B"/>
    <w:rsid w:val="00737B01"/>
    <w:rsid w:val="00740B28"/>
    <w:rsid w:val="00742271"/>
    <w:rsid w:val="00742532"/>
    <w:rsid w:val="00745BC7"/>
    <w:rsid w:val="00745C1C"/>
    <w:rsid w:val="00747ACE"/>
    <w:rsid w:val="00750FC8"/>
    <w:rsid w:val="00751E76"/>
    <w:rsid w:val="007538E8"/>
    <w:rsid w:val="00754419"/>
    <w:rsid w:val="00756E1D"/>
    <w:rsid w:val="00756ED9"/>
    <w:rsid w:val="007577C9"/>
    <w:rsid w:val="00761829"/>
    <w:rsid w:val="00761AE5"/>
    <w:rsid w:val="00761DAA"/>
    <w:rsid w:val="0076313F"/>
    <w:rsid w:val="00763F5C"/>
    <w:rsid w:val="00764BD7"/>
    <w:rsid w:val="007660DF"/>
    <w:rsid w:val="00766EA6"/>
    <w:rsid w:val="007711A7"/>
    <w:rsid w:val="00772FF3"/>
    <w:rsid w:val="00775916"/>
    <w:rsid w:val="00775E5E"/>
    <w:rsid w:val="00777538"/>
    <w:rsid w:val="00780AC5"/>
    <w:rsid w:val="007826FC"/>
    <w:rsid w:val="00783842"/>
    <w:rsid w:val="00784ABF"/>
    <w:rsid w:val="00785493"/>
    <w:rsid w:val="00786C5D"/>
    <w:rsid w:val="00786DBA"/>
    <w:rsid w:val="00786E27"/>
    <w:rsid w:val="00786F86"/>
    <w:rsid w:val="007876FE"/>
    <w:rsid w:val="00793AD0"/>
    <w:rsid w:val="0079500D"/>
    <w:rsid w:val="00795E4A"/>
    <w:rsid w:val="00797269"/>
    <w:rsid w:val="007A0831"/>
    <w:rsid w:val="007A0C65"/>
    <w:rsid w:val="007A2F57"/>
    <w:rsid w:val="007A401A"/>
    <w:rsid w:val="007A502E"/>
    <w:rsid w:val="007A6EFB"/>
    <w:rsid w:val="007B19E9"/>
    <w:rsid w:val="007B3C6F"/>
    <w:rsid w:val="007B418A"/>
    <w:rsid w:val="007B528B"/>
    <w:rsid w:val="007B586B"/>
    <w:rsid w:val="007B77D2"/>
    <w:rsid w:val="007C0006"/>
    <w:rsid w:val="007C3B54"/>
    <w:rsid w:val="007C40F2"/>
    <w:rsid w:val="007C718A"/>
    <w:rsid w:val="007C723B"/>
    <w:rsid w:val="007D06AA"/>
    <w:rsid w:val="007D0DC2"/>
    <w:rsid w:val="007D0ED9"/>
    <w:rsid w:val="007D2DAC"/>
    <w:rsid w:val="007D300E"/>
    <w:rsid w:val="007D3708"/>
    <w:rsid w:val="007D499B"/>
    <w:rsid w:val="007D4E54"/>
    <w:rsid w:val="007D7ACF"/>
    <w:rsid w:val="007E0ACC"/>
    <w:rsid w:val="007E15CF"/>
    <w:rsid w:val="007E29E6"/>
    <w:rsid w:val="007E5ED7"/>
    <w:rsid w:val="007E6259"/>
    <w:rsid w:val="007F3F1A"/>
    <w:rsid w:val="007F4195"/>
    <w:rsid w:val="007F6A83"/>
    <w:rsid w:val="007F711C"/>
    <w:rsid w:val="007F763C"/>
    <w:rsid w:val="007F7CF8"/>
    <w:rsid w:val="008010F5"/>
    <w:rsid w:val="00803D85"/>
    <w:rsid w:val="00811923"/>
    <w:rsid w:val="008161DB"/>
    <w:rsid w:val="00820805"/>
    <w:rsid w:val="008267A0"/>
    <w:rsid w:val="00826DE2"/>
    <w:rsid w:val="0083021B"/>
    <w:rsid w:val="0083026C"/>
    <w:rsid w:val="00830BFE"/>
    <w:rsid w:val="00836848"/>
    <w:rsid w:val="00840B92"/>
    <w:rsid w:val="00840BB9"/>
    <w:rsid w:val="0084244D"/>
    <w:rsid w:val="008428B8"/>
    <w:rsid w:val="00843A7D"/>
    <w:rsid w:val="00843E95"/>
    <w:rsid w:val="00844701"/>
    <w:rsid w:val="008452D6"/>
    <w:rsid w:val="008533B3"/>
    <w:rsid w:val="0085608E"/>
    <w:rsid w:val="00860746"/>
    <w:rsid w:val="00860859"/>
    <w:rsid w:val="00860DE5"/>
    <w:rsid w:val="00862735"/>
    <w:rsid w:val="0086342A"/>
    <w:rsid w:val="008655EE"/>
    <w:rsid w:val="00867964"/>
    <w:rsid w:val="00867F5D"/>
    <w:rsid w:val="008704A6"/>
    <w:rsid w:val="00870BF9"/>
    <w:rsid w:val="00870E5F"/>
    <w:rsid w:val="008713C8"/>
    <w:rsid w:val="00872C30"/>
    <w:rsid w:val="0087306A"/>
    <w:rsid w:val="00873481"/>
    <w:rsid w:val="00877AF4"/>
    <w:rsid w:val="008802E5"/>
    <w:rsid w:val="008805AC"/>
    <w:rsid w:val="008857B5"/>
    <w:rsid w:val="00885B87"/>
    <w:rsid w:val="00887187"/>
    <w:rsid w:val="00887439"/>
    <w:rsid w:val="00891D60"/>
    <w:rsid w:val="008928A8"/>
    <w:rsid w:val="00893572"/>
    <w:rsid w:val="00894338"/>
    <w:rsid w:val="0089525A"/>
    <w:rsid w:val="00895588"/>
    <w:rsid w:val="00896992"/>
    <w:rsid w:val="00897340"/>
    <w:rsid w:val="008A04F2"/>
    <w:rsid w:val="008A354C"/>
    <w:rsid w:val="008A4CD1"/>
    <w:rsid w:val="008A56BF"/>
    <w:rsid w:val="008A57FD"/>
    <w:rsid w:val="008A632C"/>
    <w:rsid w:val="008A7B03"/>
    <w:rsid w:val="008B199B"/>
    <w:rsid w:val="008B1A00"/>
    <w:rsid w:val="008B3469"/>
    <w:rsid w:val="008B54A9"/>
    <w:rsid w:val="008B5743"/>
    <w:rsid w:val="008B6C1E"/>
    <w:rsid w:val="008B788F"/>
    <w:rsid w:val="008C02A2"/>
    <w:rsid w:val="008C1360"/>
    <w:rsid w:val="008C1465"/>
    <w:rsid w:val="008C30FF"/>
    <w:rsid w:val="008C4193"/>
    <w:rsid w:val="008D03CD"/>
    <w:rsid w:val="008D0B96"/>
    <w:rsid w:val="008D0D1F"/>
    <w:rsid w:val="008D273F"/>
    <w:rsid w:val="008D601A"/>
    <w:rsid w:val="008E059D"/>
    <w:rsid w:val="008E065B"/>
    <w:rsid w:val="008E0924"/>
    <w:rsid w:val="008E0F7F"/>
    <w:rsid w:val="008E1470"/>
    <w:rsid w:val="008E2073"/>
    <w:rsid w:val="008E20E9"/>
    <w:rsid w:val="008E22D5"/>
    <w:rsid w:val="008E2D1C"/>
    <w:rsid w:val="008E384A"/>
    <w:rsid w:val="008E4BBF"/>
    <w:rsid w:val="008E590F"/>
    <w:rsid w:val="008E6385"/>
    <w:rsid w:val="008E6F5A"/>
    <w:rsid w:val="008F098A"/>
    <w:rsid w:val="008F1C97"/>
    <w:rsid w:val="008F2C1A"/>
    <w:rsid w:val="008F4E67"/>
    <w:rsid w:val="008F4F0D"/>
    <w:rsid w:val="008F508C"/>
    <w:rsid w:val="008F5926"/>
    <w:rsid w:val="008F5EC7"/>
    <w:rsid w:val="008F722E"/>
    <w:rsid w:val="008F7A51"/>
    <w:rsid w:val="0090098E"/>
    <w:rsid w:val="0090206D"/>
    <w:rsid w:val="00903004"/>
    <w:rsid w:val="0090540C"/>
    <w:rsid w:val="00905D5D"/>
    <w:rsid w:val="009077F0"/>
    <w:rsid w:val="00907DF7"/>
    <w:rsid w:val="00910064"/>
    <w:rsid w:val="009102D5"/>
    <w:rsid w:val="00912CC4"/>
    <w:rsid w:val="009140E7"/>
    <w:rsid w:val="0091567D"/>
    <w:rsid w:val="009175B5"/>
    <w:rsid w:val="00921726"/>
    <w:rsid w:val="00921834"/>
    <w:rsid w:val="00922182"/>
    <w:rsid w:val="009224F2"/>
    <w:rsid w:val="009261A4"/>
    <w:rsid w:val="0092625E"/>
    <w:rsid w:val="00927F99"/>
    <w:rsid w:val="0093125B"/>
    <w:rsid w:val="00931344"/>
    <w:rsid w:val="009316D9"/>
    <w:rsid w:val="009323CE"/>
    <w:rsid w:val="0093458C"/>
    <w:rsid w:val="009354B2"/>
    <w:rsid w:val="00941243"/>
    <w:rsid w:val="00944A55"/>
    <w:rsid w:val="00944AA3"/>
    <w:rsid w:val="00952F58"/>
    <w:rsid w:val="00953DA3"/>
    <w:rsid w:val="009556CA"/>
    <w:rsid w:val="009564B7"/>
    <w:rsid w:val="0095773F"/>
    <w:rsid w:val="00960500"/>
    <w:rsid w:val="009624E8"/>
    <w:rsid w:val="00962C11"/>
    <w:rsid w:val="009637BF"/>
    <w:rsid w:val="0096387A"/>
    <w:rsid w:val="009648F6"/>
    <w:rsid w:val="00964B33"/>
    <w:rsid w:val="009673EB"/>
    <w:rsid w:val="009674D9"/>
    <w:rsid w:val="00971285"/>
    <w:rsid w:val="009712D3"/>
    <w:rsid w:val="009745AF"/>
    <w:rsid w:val="0097587B"/>
    <w:rsid w:val="00975E15"/>
    <w:rsid w:val="00977335"/>
    <w:rsid w:val="00980454"/>
    <w:rsid w:val="00980EF9"/>
    <w:rsid w:val="00981FBD"/>
    <w:rsid w:val="0098328B"/>
    <w:rsid w:val="00983941"/>
    <w:rsid w:val="00986AE7"/>
    <w:rsid w:val="0099221C"/>
    <w:rsid w:val="00992888"/>
    <w:rsid w:val="0099454C"/>
    <w:rsid w:val="00994674"/>
    <w:rsid w:val="00996BC0"/>
    <w:rsid w:val="009A36EB"/>
    <w:rsid w:val="009A4AFF"/>
    <w:rsid w:val="009A5A90"/>
    <w:rsid w:val="009A6297"/>
    <w:rsid w:val="009A7E39"/>
    <w:rsid w:val="009B0A79"/>
    <w:rsid w:val="009B1487"/>
    <w:rsid w:val="009B33B0"/>
    <w:rsid w:val="009B3C58"/>
    <w:rsid w:val="009B438F"/>
    <w:rsid w:val="009B58ED"/>
    <w:rsid w:val="009B67D7"/>
    <w:rsid w:val="009B6940"/>
    <w:rsid w:val="009B70AF"/>
    <w:rsid w:val="009C0EC8"/>
    <w:rsid w:val="009C5DA5"/>
    <w:rsid w:val="009C63D3"/>
    <w:rsid w:val="009D16AC"/>
    <w:rsid w:val="009D240E"/>
    <w:rsid w:val="009D4A40"/>
    <w:rsid w:val="009D77F1"/>
    <w:rsid w:val="009E0CF8"/>
    <w:rsid w:val="009E1A6B"/>
    <w:rsid w:val="009E4AAF"/>
    <w:rsid w:val="009E4DDA"/>
    <w:rsid w:val="009E4FEE"/>
    <w:rsid w:val="009E70A4"/>
    <w:rsid w:val="009F1601"/>
    <w:rsid w:val="009F18A4"/>
    <w:rsid w:val="009F20B3"/>
    <w:rsid w:val="009F2B51"/>
    <w:rsid w:val="009F2D84"/>
    <w:rsid w:val="009F40C1"/>
    <w:rsid w:val="009F5110"/>
    <w:rsid w:val="009F5861"/>
    <w:rsid w:val="009F6026"/>
    <w:rsid w:val="009F6D9A"/>
    <w:rsid w:val="009F7E5A"/>
    <w:rsid w:val="00A02EF0"/>
    <w:rsid w:val="00A05339"/>
    <w:rsid w:val="00A05BE2"/>
    <w:rsid w:val="00A05F9B"/>
    <w:rsid w:val="00A063AF"/>
    <w:rsid w:val="00A119C0"/>
    <w:rsid w:val="00A125B5"/>
    <w:rsid w:val="00A14453"/>
    <w:rsid w:val="00A211B5"/>
    <w:rsid w:val="00A222C1"/>
    <w:rsid w:val="00A229A1"/>
    <w:rsid w:val="00A300F6"/>
    <w:rsid w:val="00A31AB4"/>
    <w:rsid w:val="00A40646"/>
    <w:rsid w:val="00A41E62"/>
    <w:rsid w:val="00A42E29"/>
    <w:rsid w:val="00A43730"/>
    <w:rsid w:val="00A45820"/>
    <w:rsid w:val="00A464A7"/>
    <w:rsid w:val="00A46F0C"/>
    <w:rsid w:val="00A47221"/>
    <w:rsid w:val="00A5031F"/>
    <w:rsid w:val="00A551A0"/>
    <w:rsid w:val="00A56A23"/>
    <w:rsid w:val="00A56D43"/>
    <w:rsid w:val="00A56E6D"/>
    <w:rsid w:val="00A57F7D"/>
    <w:rsid w:val="00A6298C"/>
    <w:rsid w:val="00A637A6"/>
    <w:rsid w:val="00A645B7"/>
    <w:rsid w:val="00A6509C"/>
    <w:rsid w:val="00A65324"/>
    <w:rsid w:val="00A65F7B"/>
    <w:rsid w:val="00A6616B"/>
    <w:rsid w:val="00A66B12"/>
    <w:rsid w:val="00A66C0D"/>
    <w:rsid w:val="00A73CA9"/>
    <w:rsid w:val="00A73ED8"/>
    <w:rsid w:val="00A775F3"/>
    <w:rsid w:val="00A778BB"/>
    <w:rsid w:val="00A809FB"/>
    <w:rsid w:val="00A8188A"/>
    <w:rsid w:val="00A87CC3"/>
    <w:rsid w:val="00A921C2"/>
    <w:rsid w:val="00A9358D"/>
    <w:rsid w:val="00A9376C"/>
    <w:rsid w:val="00A96027"/>
    <w:rsid w:val="00A96715"/>
    <w:rsid w:val="00A97774"/>
    <w:rsid w:val="00AA0D6A"/>
    <w:rsid w:val="00AA4965"/>
    <w:rsid w:val="00AA5F8F"/>
    <w:rsid w:val="00AA6F2C"/>
    <w:rsid w:val="00AA7C26"/>
    <w:rsid w:val="00AA7DF7"/>
    <w:rsid w:val="00AB1449"/>
    <w:rsid w:val="00AB15B6"/>
    <w:rsid w:val="00AB15E4"/>
    <w:rsid w:val="00AB2E93"/>
    <w:rsid w:val="00AB4A15"/>
    <w:rsid w:val="00AB5518"/>
    <w:rsid w:val="00AB56F2"/>
    <w:rsid w:val="00AB6A24"/>
    <w:rsid w:val="00AB6AAA"/>
    <w:rsid w:val="00AB6AAF"/>
    <w:rsid w:val="00AC1D72"/>
    <w:rsid w:val="00AC3630"/>
    <w:rsid w:val="00AC3F4D"/>
    <w:rsid w:val="00AC4A6D"/>
    <w:rsid w:val="00AC4DEB"/>
    <w:rsid w:val="00AC53CE"/>
    <w:rsid w:val="00AD1EE8"/>
    <w:rsid w:val="00AD3A9D"/>
    <w:rsid w:val="00AD4396"/>
    <w:rsid w:val="00AD4591"/>
    <w:rsid w:val="00AD6BE0"/>
    <w:rsid w:val="00AD6F7C"/>
    <w:rsid w:val="00AD7E42"/>
    <w:rsid w:val="00AE09C0"/>
    <w:rsid w:val="00AE1C71"/>
    <w:rsid w:val="00AE223A"/>
    <w:rsid w:val="00AE2286"/>
    <w:rsid w:val="00AE23E6"/>
    <w:rsid w:val="00AE26D0"/>
    <w:rsid w:val="00AE3230"/>
    <w:rsid w:val="00AE4856"/>
    <w:rsid w:val="00AE7B04"/>
    <w:rsid w:val="00AF1AB0"/>
    <w:rsid w:val="00AF2561"/>
    <w:rsid w:val="00AF2DFC"/>
    <w:rsid w:val="00AF338D"/>
    <w:rsid w:val="00AF4C9A"/>
    <w:rsid w:val="00B0232F"/>
    <w:rsid w:val="00B05184"/>
    <w:rsid w:val="00B07B13"/>
    <w:rsid w:val="00B1089E"/>
    <w:rsid w:val="00B120C2"/>
    <w:rsid w:val="00B13311"/>
    <w:rsid w:val="00B14240"/>
    <w:rsid w:val="00B146D1"/>
    <w:rsid w:val="00B1481B"/>
    <w:rsid w:val="00B14B29"/>
    <w:rsid w:val="00B2589D"/>
    <w:rsid w:val="00B3031B"/>
    <w:rsid w:val="00B32395"/>
    <w:rsid w:val="00B3248C"/>
    <w:rsid w:val="00B326A2"/>
    <w:rsid w:val="00B328DC"/>
    <w:rsid w:val="00B342B2"/>
    <w:rsid w:val="00B3563E"/>
    <w:rsid w:val="00B44E93"/>
    <w:rsid w:val="00B4577D"/>
    <w:rsid w:val="00B45DC4"/>
    <w:rsid w:val="00B46D55"/>
    <w:rsid w:val="00B502CF"/>
    <w:rsid w:val="00B52233"/>
    <w:rsid w:val="00B536A7"/>
    <w:rsid w:val="00B5377A"/>
    <w:rsid w:val="00B54ABF"/>
    <w:rsid w:val="00B54CDE"/>
    <w:rsid w:val="00B54DAA"/>
    <w:rsid w:val="00B5696E"/>
    <w:rsid w:val="00B56984"/>
    <w:rsid w:val="00B56C74"/>
    <w:rsid w:val="00B56F22"/>
    <w:rsid w:val="00B61D2D"/>
    <w:rsid w:val="00B645F2"/>
    <w:rsid w:val="00B726F2"/>
    <w:rsid w:val="00B7327D"/>
    <w:rsid w:val="00B73A52"/>
    <w:rsid w:val="00B74447"/>
    <w:rsid w:val="00B746D2"/>
    <w:rsid w:val="00B75C9E"/>
    <w:rsid w:val="00B77A81"/>
    <w:rsid w:val="00B802E7"/>
    <w:rsid w:val="00B85031"/>
    <w:rsid w:val="00B857AD"/>
    <w:rsid w:val="00B86360"/>
    <w:rsid w:val="00B87A82"/>
    <w:rsid w:val="00B87F38"/>
    <w:rsid w:val="00B90C81"/>
    <w:rsid w:val="00B934DF"/>
    <w:rsid w:val="00B9442D"/>
    <w:rsid w:val="00B95086"/>
    <w:rsid w:val="00B963EF"/>
    <w:rsid w:val="00B96F35"/>
    <w:rsid w:val="00BA001F"/>
    <w:rsid w:val="00BA4C83"/>
    <w:rsid w:val="00BA529D"/>
    <w:rsid w:val="00BA6047"/>
    <w:rsid w:val="00BA6F8E"/>
    <w:rsid w:val="00BB3A52"/>
    <w:rsid w:val="00BB6137"/>
    <w:rsid w:val="00BB644A"/>
    <w:rsid w:val="00BB6BD0"/>
    <w:rsid w:val="00BB71BF"/>
    <w:rsid w:val="00BB7397"/>
    <w:rsid w:val="00BC40FA"/>
    <w:rsid w:val="00BC44B9"/>
    <w:rsid w:val="00BC654A"/>
    <w:rsid w:val="00BC754F"/>
    <w:rsid w:val="00BD2BF7"/>
    <w:rsid w:val="00BD454F"/>
    <w:rsid w:val="00BD6343"/>
    <w:rsid w:val="00BE1284"/>
    <w:rsid w:val="00BE3958"/>
    <w:rsid w:val="00BE4E64"/>
    <w:rsid w:val="00BE53BB"/>
    <w:rsid w:val="00BE5CD4"/>
    <w:rsid w:val="00BE6236"/>
    <w:rsid w:val="00BF04E4"/>
    <w:rsid w:val="00BF20C6"/>
    <w:rsid w:val="00C002B6"/>
    <w:rsid w:val="00C05409"/>
    <w:rsid w:val="00C0613A"/>
    <w:rsid w:val="00C07304"/>
    <w:rsid w:val="00C1084D"/>
    <w:rsid w:val="00C1394E"/>
    <w:rsid w:val="00C142D6"/>
    <w:rsid w:val="00C14856"/>
    <w:rsid w:val="00C16704"/>
    <w:rsid w:val="00C2020B"/>
    <w:rsid w:val="00C20A7C"/>
    <w:rsid w:val="00C23974"/>
    <w:rsid w:val="00C2527D"/>
    <w:rsid w:val="00C25A78"/>
    <w:rsid w:val="00C275B9"/>
    <w:rsid w:val="00C30894"/>
    <w:rsid w:val="00C31B31"/>
    <w:rsid w:val="00C3274F"/>
    <w:rsid w:val="00C32C09"/>
    <w:rsid w:val="00C32DD2"/>
    <w:rsid w:val="00C334F1"/>
    <w:rsid w:val="00C336C3"/>
    <w:rsid w:val="00C3398C"/>
    <w:rsid w:val="00C34AAD"/>
    <w:rsid w:val="00C361CF"/>
    <w:rsid w:val="00C42A4F"/>
    <w:rsid w:val="00C42A61"/>
    <w:rsid w:val="00C4307A"/>
    <w:rsid w:val="00C435A4"/>
    <w:rsid w:val="00C4392E"/>
    <w:rsid w:val="00C4534A"/>
    <w:rsid w:val="00C4582F"/>
    <w:rsid w:val="00C51AB1"/>
    <w:rsid w:val="00C53612"/>
    <w:rsid w:val="00C56E68"/>
    <w:rsid w:val="00C5744E"/>
    <w:rsid w:val="00C57629"/>
    <w:rsid w:val="00C61819"/>
    <w:rsid w:val="00C62FC4"/>
    <w:rsid w:val="00C6485B"/>
    <w:rsid w:val="00C64CAC"/>
    <w:rsid w:val="00C70A5B"/>
    <w:rsid w:val="00C718E0"/>
    <w:rsid w:val="00C71DE6"/>
    <w:rsid w:val="00C72A46"/>
    <w:rsid w:val="00C73AFC"/>
    <w:rsid w:val="00C741D4"/>
    <w:rsid w:val="00C74DF7"/>
    <w:rsid w:val="00C75676"/>
    <w:rsid w:val="00C75AC3"/>
    <w:rsid w:val="00C77334"/>
    <w:rsid w:val="00C7774F"/>
    <w:rsid w:val="00C77993"/>
    <w:rsid w:val="00C80295"/>
    <w:rsid w:val="00C8366E"/>
    <w:rsid w:val="00C83B6B"/>
    <w:rsid w:val="00C84608"/>
    <w:rsid w:val="00C84BC0"/>
    <w:rsid w:val="00C84D2A"/>
    <w:rsid w:val="00C85F53"/>
    <w:rsid w:val="00C86516"/>
    <w:rsid w:val="00C86C4B"/>
    <w:rsid w:val="00C9208D"/>
    <w:rsid w:val="00C94D04"/>
    <w:rsid w:val="00C94EFB"/>
    <w:rsid w:val="00C96E7D"/>
    <w:rsid w:val="00C97860"/>
    <w:rsid w:val="00CA0626"/>
    <w:rsid w:val="00CA0DAE"/>
    <w:rsid w:val="00CA219B"/>
    <w:rsid w:val="00CA2F55"/>
    <w:rsid w:val="00CA373E"/>
    <w:rsid w:val="00CA3FC1"/>
    <w:rsid w:val="00CA54A7"/>
    <w:rsid w:val="00CA5C52"/>
    <w:rsid w:val="00CB0188"/>
    <w:rsid w:val="00CB0B40"/>
    <w:rsid w:val="00CB1408"/>
    <w:rsid w:val="00CB2F23"/>
    <w:rsid w:val="00CB300A"/>
    <w:rsid w:val="00CB4B20"/>
    <w:rsid w:val="00CB5866"/>
    <w:rsid w:val="00CB5CA6"/>
    <w:rsid w:val="00CB7807"/>
    <w:rsid w:val="00CC140A"/>
    <w:rsid w:val="00CC1F83"/>
    <w:rsid w:val="00CC2071"/>
    <w:rsid w:val="00CC20EE"/>
    <w:rsid w:val="00CC25EE"/>
    <w:rsid w:val="00CC5CF2"/>
    <w:rsid w:val="00CC7053"/>
    <w:rsid w:val="00CD009C"/>
    <w:rsid w:val="00CD01BA"/>
    <w:rsid w:val="00CD0B7F"/>
    <w:rsid w:val="00CD0BED"/>
    <w:rsid w:val="00CD0CBD"/>
    <w:rsid w:val="00CD0DEA"/>
    <w:rsid w:val="00CD2906"/>
    <w:rsid w:val="00CD3B15"/>
    <w:rsid w:val="00CD3C18"/>
    <w:rsid w:val="00CD4555"/>
    <w:rsid w:val="00CD6A23"/>
    <w:rsid w:val="00CD77B0"/>
    <w:rsid w:val="00CE097E"/>
    <w:rsid w:val="00CE1016"/>
    <w:rsid w:val="00CE24DB"/>
    <w:rsid w:val="00CE59D1"/>
    <w:rsid w:val="00CE604C"/>
    <w:rsid w:val="00CE60C1"/>
    <w:rsid w:val="00CE67F3"/>
    <w:rsid w:val="00CE6C5A"/>
    <w:rsid w:val="00CF0206"/>
    <w:rsid w:val="00CF193B"/>
    <w:rsid w:val="00CF223E"/>
    <w:rsid w:val="00CF38B6"/>
    <w:rsid w:val="00CF4E52"/>
    <w:rsid w:val="00CF5134"/>
    <w:rsid w:val="00CF7EDE"/>
    <w:rsid w:val="00D04289"/>
    <w:rsid w:val="00D054C0"/>
    <w:rsid w:val="00D06F2C"/>
    <w:rsid w:val="00D12D49"/>
    <w:rsid w:val="00D14681"/>
    <w:rsid w:val="00D22287"/>
    <w:rsid w:val="00D227C6"/>
    <w:rsid w:val="00D229D1"/>
    <w:rsid w:val="00D233BB"/>
    <w:rsid w:val="00D23BE9"/>
    <w:rsid w:val="00D2452D"/>
    <w:rsid w:val="00D26759"/>
    <w:rsid w:val="00D30C79"/>
    <w:rsid w:val="00D31C51"/>
    <w:rsid w:val="00D3216D"/>
    <w:rsid w:val="00D3476D"/>
    <w:rsid w:val="00D3595F"/>
    <w:rsid w:val="00D40FEB"/>
    <w:rsid w:val="00D414ED"/>
    <w:rsid w:val="00D41C73"/>
    <w:rsid w:val="00D42D21"/>
    <w:rsid w:val="00D44F39"/>
    <w:rsid w:val="00D4502D"/>
    <w:rsid w:val="00D45377"/>
    <w:rsid w:val="00D4578E"/>
    <w:rsid w:val="00D46150"/>
    <w:rsid w:val="00D4728F"/>
    <w:rsid w:val="00D50F14"/>
    <w:rsid w:val="00D51793"/>
    <w:rsid w:val="00D54606"/>
    <w:rsid w:val="00D554E1"/>
    <w:rsid w:val="00D5772E"/>
    <w:rsid w:val="00D60DB2"/>
    <w:rsid w:val="00D63C73"/>
    <w:rsid w:val="00D63F42"/>
    <w:rsid w:val="00D64412"/>
    <w:rsid w:val="00D64613"/>
    <w:rsid w:val="00D651B4"/>
    <w:rsid w:val="00D66DCA"/>
    <w:rsid w:val="00D67ACA"/>
    <w:rsid w:val="00D712CF"/>
    <w:rsid w:val="00D7300C"/>
    <w:rsid w:val="00D77B89"/>
    <w:rsid w:val="00D77DAC"/>
    <w:rsid w:val="00D802A5"/>
    <w:rsid w:val="00D80F3C"/>
    <w:rsid w:val="00D85BE6"/>
    <w:rsid w:val="00D860F8"/>
    <w:rsid w:val="00D868BA"/>
    <w:rsid w:val="00D928D0"/>
    <w:rsid w:val="00D93368"/>
    <w:rsid w:val="00D93A6B"/>
    <w:rsid w:val="00D94A01"/>
    <w:rsid w:val="00D94C45"/>
    <w:rsid w:val="00D957B2"/>
    <w:rsid w:val="00D9587E"/>
    <w:rsid w:val="00DA0E3B"/>
    <w:rsid w:val="00DA358D"/>
    <w:rsid w:val="00DA5153"/>
    <w:rsid w:val="00DA722B"/>
    <w:rsid w:val="00DA7405"/>
    <w:rsid w:val="00DB0A50"/>
    <w:rsid w:val="00DB1449"/>
    <w:rsid w:val="00DB23C9"/>
    <w:rsid w:val="00DB38B4"/>
    <w:rsid w:val="00DB3A8A"/>
    <w:rsid w:val="00DB4087"/>
    <w:rsid w:val="00DB59EE"/>
    <w:rsid w:val="00DB68D7"/>
    <w:rsid w:val="00DB6C7F"/>
    <w:rsid w:val="00DB75C1"/>
    <w:rsid w:val="00DC00C2"/>
    <w:rsid w:val="00DC0AC2"/>
    <w:rsid w:val="00DC0F95"/>
    <w:rsid w:val="00DC1F6A"/>
    <w:rsid w:val="00DC3DEB"/>
    <w:rsid w:val="00DC482C"/>
    <w:rsid w:val="00DC50BC"/>
    <w:rsid w:val="00DD3B43"/>
    <w:rsid w:val="00DD4FB9"/>
    <w:rsid w:val="00DD7086"/>
    <w:rsid w:val="00DD7761"/>
    <w:rsid w:val="00DE06D1"/>
    <w:rsid w:val="00DE07A1"/>
    <w:rsid w:val="00DE0D5E"/>
    <w:rsid w:val="00DE28AF"/>
    <w:rsid w:val="00DE41AE"/>
    <w:rsid w:val="00DE495A"/>
    <w:rsid w:val="00DE5E2E"/>
    <w:rsid w:val="00DE60B4"/>
    <w:rsid w:val="00DE6497"/>
    <w:rsid w:val="00DE668A"/>
    <w:rsid w:val="00DF0112"/>
    <w:rsid w:val="00DF01F3"/>
    <w:rsid w:val="00DF0B87"/>
    <w:rsid w:val="00DF12E1"/>
    <w:rsid w:val="00DF186E"/>
    <w:rsid w:val="00DF3164"/>
    <w:rsid w:val="00DF3364"/>
    <w:rsid w:val="00DF36C7"/>
    <w:rsid w:val="00DF61F5"/>
    <w:rsid w:val="00E0466A"/>
    <w:rsid w:val="00E0539C"/>
    <w:rsid w:val="00E06981"/>
    <w:rsid w:val="00E06FBF"/>
    <w:rsid w:val="00E10DBA"/>
    <w:rsid w:val="00E12CBA"/>
    <w:rsid w:val="00E17C2E"/>
    <w:rsid w:val="00E20887"/>
    <w:rsid w:val="00E2118E"/>
    <w:rsid w:val="00E2173C"/>
    <w:rsid w:val="00E22D83"/>
    <w:rsid w:val="00E24A3A"/>
    <w:rsid w:val="00E250DC"/>
    <w:rsid w:val="00E257CE"/>
    <w:rsid w:val="00E2595E"/>
    <w:rsid w:val="00E3061D"/>
    <w:rsid w:val="00E318D0"/>
    <w:rsid w:val="00E31FDF"/>
    <w:rsid w:val="00E34EB3"/>
    <w:rsid w:val="00E35059"/>
    <w:rsid w:val="00E3642C"/>
    <w:rsid w:val="00E365DB"/>
    <w:rsid w:val="00E430EB"/>
    <w:rsid w:val="00E45B8F"/>
    <w:rsid w:val="00E4747A"/>
    <w:rsid w:val="00E50E24"/>
    <w:rsid w:val="00E53263"/>
    <w:rsid w:val="00E5499D"/>
    <w:rsid w:val="00E5569E"/>
    <w:rsid w:val="00E56903"/>
    <w:rsid w:val="00E61F4C"/>
    <w:rsid w:val="00E62ACD"/>
    <w:rsid w:val="00E63B21"/>
    <w:rsid w:val="00E679B3"/>
    <w:rsid w:val="00E7264C"/>
    <w:rsid w:val="00E72A17"/>
    <w:rsid w:val="00E77273"/>
    <w:rsid w:val="00E8007A"/>
    <w:rsid w:val="00E80D30"/>
    <w:rsid w:val="00E84820"/>
    <w:rsid w:val="00E85004"/>
    <w:rsid w:val="00E86780"/>
    <w:rsid w:val="00E8691E"/>
    <w:rsid w:val="00E87080"/>
    <w:rsid w:val="00E8775D"/>
    <w:rsid w:val="00E90299"/>
    <w:rsid w:val="00E903FC"/>
    <w:rsid w:val="00E912A0"/>
    <w:rsid w:val="00E91468"/>
    <w:rsid w:val="00E91BB5"/>
    <w:rsid w:val="00E92AEF"/>
    <w:rsid w:val="00E94857"/>
    <w:rsid w:val="00E972C2"/>
    <w:rsid w:val="00EA05EC"/>
    <w:rsid w:val="00EA2894"/>
    <w:rsid w:val="00EA3EC7"/>
    <w:rsid w:val="00EA4054"/>
    <w:rsid w:val="00EA5984"/>
    <w:rsid w:val="00EA62A4"/>
    <w:rsid w:val="00EA76DE"/>
    <w:rsid w:val="00EB0424"/>
    <w:rsid w:val="00EB3545"/>
    <w:rsid w:val="00EB41E0"/>
    <w:rsid w:val="00EB7DB7"/>
    <w:rsid w:val="00EC019C"/>
    <w:rsid w:val="00EC01F2"/>
    <w:rsid w:val="00EC08E5"/>
    <w:rsid w:val="00EC5C46"/>
    <w:rsid w:val="00EC5D97"/>
    <w:rsid w:val="00EC5F7E"/>
    <w:rsid w:val="00EC6FAC"/>
    <w:rsid w:val="00EC7711"/>
    <w:rsid w:val="00ED0DAD"/>
    <w:rsid w:val="00ED1B57"/>
    <w:rsid w:val="00ED1C32"/>
    <w:rsid w:val="00ED3D82"/>
    <w:rsid w:val="00ED6E4E"/>
    <w:rsid w:val="00ED7F23"/>
    <w:rsid w:val="00EE19C3"/>
    <w:rsid w:val="00EE1F42"/>
    <w:rsid w:val="00EE23D2"/>
    <w:rsid w:val="00EE2954"/>
    <w:rsid w:val="00EE3350"/>
    <w:rsid w:val="00EE340C"/>
    <w:rsid w:val="00EE366B"/>
    <w:rsid w:val="00EE3D85"/>
    <w:rsid w:val="00EE4B6D"/>
    <w:rsid w:val="00EE5CB6"/>
    <w:rsid w:val="00EE7FD3"/>
    <w:rsid w:val="00EF4967"/>
    <w:rsid w:val="00EF65E3"/>
    <w:rsid w:val="00EF6B1D"/>
    <w:rsid w:val="00F00B8A"/>
    <w:rsid w:val="00F01FF8"/>
    <w:rsid w:val="00F038B9"/>
    <w:rsid w:val="00F06B03"/>
    <w:rsid w:val="00F10EB3"/>
    <w:rsid w:val="00F14188"/>
    <w:rsid w:val="00F15E39"/>
    <w:rsid w:val="00F176C1"/>
    <w:rsid w:val="00F21669"/>
    <w:rsid w:val="00F21AE0"/>
    <w:rsid w:val="00F22354"/>
    <w:rsid w:val="00F2259E"/>
    <w:rsid w:val="00F226FB"/>
    <w:rsid w:val="00F24E3E"/>
    <w:rsid w:val="00F324B0"/>
    <w:rsid w:val="00F3428C"/>
    <w:rsid w:val="00F372F1"/>
    <w:rsid w:val="00F40CE1"/>
    <w:rsid w:val="00F42592"/>
    <w:rsid w:val="00F42C4C"/>
    <w:rsid w:val="00F43029"/>
    <w:rsid w:val="00F43722"/>
    <w:rsid w:val="00F44927"/>
    <w:rsid w:val="00F44BCE"/>
    <w:rsid w:val="00F45962"/>
    <w:rsid w:val="00F47492"/>
    <w:rsid w:val="00F51347"/>
    <w:rsid w:val="00F513C4"/>
    <w:rsid w:val="00F52076"/>
    <w:rsid w:val="00F520BD"/>
    <w:rsid w:val="00F533D0"/>
    <w:rsid w:val="00F54294"/>
    <w:rsid w:val="00F544AE"/>
    <w:rsid w:val="00F548E2"/>
    <w:rsid w:val="00F570D5"/>
    <w:rsid w:val="00F57974"/>
    <w:rsid w:val="00F57A2B"/>
    <w:rsid w:val="00F61F77"/>
    <w:rsid w:val="00F62519"/>
    <w:rsid w:val="00F63CA2"/>
    <w:rsid w:val="00F640D5"/>
    <w:rsid w:val="00F64385"/>
    <w:rsid w:val="00F6516A"/>
    <w:rsid w:val="00F6542B"/>
    <w:rsid w:val="00F655B9"/>
    <w:rsid w:val="00F65713"/>
    <w:rsid w:val="00F66BC4"/>
    <w:rsid w:val="00F706EE"/>
    <w:rsid w:val="00F7161F"/>
    <w:rsid w:val="00F721E9"/>
    <w:rsid w:val="00F726E1"/>
    <w:rsid w:val="00F760BD"/>
    <w:rsid w:val="00F77283"/>
    <w:rsid w:val="00F808CE"/>
    <w:rsid w:val="00F81DAF"/>
    <w:rsid w:val="00F81E26"/>
    <w:rsid w:val="00F82498"/>
    <w:rsid w:val="00F82EB1"/>
    <w:rsid w:val="00F95428"/>
    <w:rsid w:val="00F95BCB"/>
    <w:rsid w:val="00F973D8"/>
    <w:rsid w:val="00F9787B"/>
    <w:rsid w:val="00FA2529"/>
    <w:rsid w:val="00FA2D39"/>
    <w:rsid w:val="00FA2D79"/>
    <w:rsid w:val="00FA5012"/>
    <w:rsid w:val="00FA5765"/>
    <w:rsid w:val="00FA6CCD"/>
    <w:rsid w:val="00FA6FBD"/>
    <w:rsid w:val="00FA7545"/>
    <w:rsid w:val="00FA7F08"/>
    <w:rsid w:val="00FB1332"/>
    <w:rsid w:val="00FB2014"/>
    <w:rsid w:val="00FB2BB4"/>
    <w:rsid w:val="00FB48A7"/>
    <w:rsid w:val="00FB67D9"/>
    <w:rsid w:val="00FB6EE5"/>
    <w:rsid w:val="00FB7426"/>
    <w:rsid w:val="00FC0305"/>
    <w:rsid w:val="00FC051B"/>
    <w:rsid w:val="00FC0FDA"/>
    <w:rsid w:val="00FC2126"/>
    <w:rsid w:val="00FC5DFE"/>
    <w:rsid w:val="00FC6DBF"/>
    <w:rsid w:val="00FD2173"/>
    <w:rsid w:val="00FD6CAD"/>
    <w:rsid w:val="00FE0AD5"/>
    <w:rsid w:val="00FE1D6F"/>
    <w:rsid w:val="00FE2409"/>
    <w:rsid w:val="00FE37BF"/>
    <w:rsid w:val="00FE3B88"/>
    <w:rsid w:val="00FE3DF2"/>
    <w:rsid w:val="00FE432D"/>
    <w:rsid w:val="00FF2AD1"/>
    <w:rsid w:val="00FF3818"/>
    <w:rsid w:val="00FF78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04D3"/>
  <w15:chartTrackingRefBased/>
  <w15:docId w15:val="{0FA11D5B-D4F0-554B-A3F5-39A2BA62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26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91265"/>
    <w:pPr>
      <w:ind w:left="720"/>
      <w:contextualSpacing/>
    </w:pPr>
  </w:style>
  <w:style w:type="paragraph" w:styleId="Footer">
    <w:name w:val="footer"/>
    <w:basedOn w:val="Normal"/>
    <w:link w:val="FooterChar"/>
    <w:uiPriority w:val="99"/>
    <w:unhideWhenUsed/>
    <w:rsid w:val="00F14188"/>
    <w:pPr>
      <w:tabs>
        <w:tab w:val="center" w:pos="4680"/>
        <w:tab w:val="right" w:pos="9360"/>
      </w:tabs>
    </w:pPr>
  </w:style>
  <w:style w:type="character" w:customStyle="1" w:styleId="FooterChar">
    <w:name w:val="Footer Char"/>
    <w:basedOn w:val="DefaultParagraphFont"/>
    <w:link w:val="Footer"/>
    <w:uiPriority w:val="99"/>
    <w:rsid w:val="00F14188"/>
  </w:style>
  <w:style w:type="character" w:styleId="PageNumber">
    <w:name w:val="page number"/>
    <w:basedOn w:val="DefaultParagraphFont"/>
    <w:uiPriority w:val="99"/>
    <w:semiHidden/>
    <w:unhideWhenUsed/>
    <w:rsid w:val="00F14188"/>
  </w:style>
  <w:style w:type="paragraph" w:styleId="Header">
    <w:name w:val="header"/>
    <w:basedOn w:val="Normal"/>
    <w:link w:val="HeaderChar"/>
    <w:uiPriority w:val="99"/>
    <w:unhideWhenUsed/>
    <w:rsid w:val="00F14188"/>
    <w:pPr>
      <w:tabs>
        <w:tab w:val="center" w:pos="4680"/>
        <w:tab w:val="right" w:pos="9360"/>
      </w:tabs>
    </w:pPr>
  </w:style>
  <w:style w:type="character" w:customStyle="1" w:styleId="HeaderChar">
    <w:name w:val="Header Char"/>
    <w:basedOn w:val="DefaultParagraphFont"/>
    <w:link w:val="Header"/>
    <w:uiPriority w:val="99"/>
    <w:rsid w:val="00F14188"/>
  </w:style>
  <w:style w:type="character" w:styleId="CommentReference">
    <w:name w:val="annotation reference"/>
    <w:basedOn w:val="DefaultParagraphFont"/>
    <w:uiPriority w:val="99"/>
    <w:semiHidden/>
    <w:unhideWhenUsed/>
    <w:rsid w:val="004577C7"/>
    <w:rPr>
      <w:sz w:val="16"/>
      <w:szCs w:val="16"/>
    </w:rPr>
  </w:style>
  <w:style w:type="paragraph" w:styleId="CommentText">
    <w:name w:val="annotation text"/>
    <w:basedOn w:val="Normal"/>
    <w:link w:val="CommentTextChar"/>
    <w:uiPriority w:val="99"/>
    <w:unhideWhenUsed/>
    <w:rsid w:val="004577C7"/>
    <w:rPr>
      <w:sz w:val="20"/>
      <w:szCs w:val="20"/>
    </w:rPr>
  </w:style>
  <w:style w:type="character" w:customStyle="1" w:styleId="CommentTextChar">
    <w:name w:val="Comment Text Char"/>
    <w:basedOn w:val="DefaultParagraphFont"/>
    <w:link w:val="CommentText"/>
    <w:uiPriority w:val="99"/>
    <w:rsid w:val="004577C7"/>
    <w:rPr>
      <w:sz w:val="20"/>
      <w:szCs w:val="20"/>
    </w:rPr>
  </w:style>
  <w:style w:type="paragraph" w:styleId="CommentSubject">
    <w:name w:val="annotation subject"/>
    <w:basedOn w:val="CommentText"/>
    <w:next w:val="CommentText"/>
    <w:link w:val="CommentSubjectChar"/>
    <w:uiPriority w:val="99"/>
    <w:semiHidden/>
    <w:unhideWhenUsed/>
    <w:rsid w:val="004577C7"/>
    <w:rPr>
      <w:b/>
      <w:bCs/>
    </w:rPr>
  </w:style>
  <w:style w:type="character" w:customStyle="1" w:styleId="CommentSubjectChar">
    <w:name w:val="Comment Subject Char"/>
    <w:basedOn w:val="CommentTextChar"/>
    <w:link w:val="CommentSubject"/>
    <w:uiPriority w:val="99"/>
    <w:semiHidden/>
    <w:rsid w:val="004577C7"/>
    <w:rPr>
      <w:b/>
      <w:bCs/>
      <w:sz w:val="20"/>
      <w:szCs w:val="20"/>
    </w:rPr>
  </w:style>
  <w:style w:type="numbering" w:customStyle="1" w:styleId="CurrentList1">
    <w:name w:val="Current List1"/>
    <w:uiPriority w:val="99"/>
    <w:rsid w:val="0017554A"/>
    <w:pPr>
      <w:numPr>
        <w:numId w:val="1"/>
      </w:numPr>
    </w:pPr>
  </w:style>
  <w:style w:type="numbering" w:customStyle="1" w:styleId="CurrentList2">
    <w:name w:val="Current List2"/>
    <w:uiPriority w:val="99"/>
    <w:rsid w:val="0017554A"/>
    <w:pPr>
      <w:numPr>
        <w:numId w:val="2"/>
      </w:numPr>
    </w:pPr>
  </w:style>
  <w:style w:type="paragraph" w:styleId="FootnoteText">
    <w:name w:val="footnote text"/>
    <w:basedOn w:val="Normal"/>
    <w:link w:val="FootnoteTextChar"/>
    <w:uiPriority w:val="99"/>
    <w:semiHidden/>
    <w:unhideWhenUsed/>
    <w:rsid w:val="009F7E5A"/>
    <w:rPr>
      <w:sz w:val="20"/>
      <w:szCs w:val="20"/>
    </w:rPr>
  </w:style>
  <w:style w:type="character" w:customStyle="1" w:styleId="FootnoteTextChar">
    <w:name w:val="Footnote Text Char"/>
    <w:basedOn w:val="DefaultParagraphFont"/>
    <w:link w:val="FootnoteText"/>
    <w:uiPriority w:val="99"/>
    <w:semiHidden/>
    <w:rsid w:val="009F7E5A"/>
    <w:rPr>
      <w:sz w:val="20"/>
      <w:szCs w:val="20"/>
    </w:rPr>
  </w:style>
  <w:style w:type="character" w:styleId="FootnoteReference">
    <w:name w:val="footnote reference"/>
    <w:basedOn w:val="DefaultParagraphFont"/>
    <w:uiPriority w:val="99"/>
    <w:semiHidden/>
    <w:unhideWhenUsed/>
    <w:rsid w:val="009F7E5A"/>
    <w:rPr>
      <w:vertAlign w:val="superscript"/>
    </w:rPr>
  </w:style>
  <w:style w:type="character" w:styleId="Hyperlink">
    <w:name w:val="Hyperlink"/>
    <w:basedOn w:val="DefaultParagraphFont"/>
    <w:uiPriority w:val="99"/>
    <w:unhideWhenUsed/>
    <w:rsid w:val="003D52C3"/>
    <w:rPr>
      <w:color w:val="0563C1" w:themeColor="hyperlink"/>
      <w:u w:val="single"/>
    </w:rPr>
  </w:style>
  <w:style w:type="character" w:styleId="UnresolvedMention">
    <w:name w:val="Unresolved Mention"/>
    <w:basedOn w:val="DefaultParagraphFont"/>
    <w:uiPriority w:val="99"/>
    <w:semiHidden/>
    <w:unhideWhenUsed/>
    <w:rsid w:val="003D5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18">
      <w:bodyDiv w:val="1"/>
      <w:marLeft w:val="0"/>
      <w:marRight w:val="0"/>
      <w:marTop w:val="0"/>
      <w:marBottom w:val="0"/>
      <w:divBdr>
        <w:top w:val="none" w:sz="0" w:space="0" w:color="auto"/>
        <w:left w:val="none" w:sz="0" w:space="0" w:color="auto"/>
        <w:bottom w:val="none" w:sz="0" w:space="0" w:color="auto"/>
        <w:right w:val="none" w:sz="0" w:space="0" w:color="auto"/>
      </w:divBdr>
    </w:div>
    <w:div w:id="7946885">
      <w:bodyDiv w:val="1"/>
      <w:marLeft w:val="0"/>
      <w:marRight w:val="0"/>
      <w:marTop w:val="0"/>
      <w:marBottom w:val="0"/>
      <w:divBdr>
        <w:top w:val="none" w:sz="0" w:space="0" w:color="auto"/>
        <w:left w:val="none" w:sz="0" w:space="0" w:color="auto"/>
        <w:bottom w:val="none" w:sz="0" w:space="0" w:color="auto"/>
        <w:right w:val="none" w:sz="0" w:space="0" w:color="auto"/>
      </w:divBdr>
    </w:div>
    <w:div w:id="31459982">
      <w:bodyDiv w:val="1"/>
      <w:marLeft w:val="0"/>
      <w:marRight w:val="0"/>
      <w:marTop w:val="0"/>
      <w:marBottom w:val="0"/>
      <w:divBdr>
        <w:top w:val="none" w:sz="0" w:space="0" w:color="auto"/>
        <w:left w:val="none" w:sz="0" w:space="0" w:color="auto"/>
        <w:bottom w:val="none" w:sz="0" w:space="0" w:color="auto"/>
        <w:right w:val="none" w:sz="0" w:space="0" w:color="auto"/>
      </w:divBdr>
    </w:div>
    <w:div w:id="48698387">
      <w:bodyDiv w:val="1"/>
      <w:marLeft w:val="0"/>
      <w:marRight w:val="0"/>
      <w:marTop w:val="0"/>
      <w:marBottom w:val="0"/>
      <w:divBdr>
        <w:top w:val="none" w:sz="0" w:space="0" w:color="auto"/>
        <w:left w:val="none" w:sz="0" w:space="0" w:color="auto"/>
        <w:bottom w:val="none" w:sz="0" w:space="0" w:color="auto"/>
        <w:right w:val="none" w:sz="0" w:space="0" w:color="auto"/>
      </w:divBdr>
    </w:div>
    <w:div w:id="56780677">
      <w:bodyDiv w:val="1"/>
      <w:marLeft w:val="0"/>
      <w:marRight w:val="0"/>
      <w:marTop w:val="0"/>
      <w:marBottom w:val="0"/>
      <w:divBdr>
        <w:top w:val="none" w:sz="0" w:space="0" w:color="auto"/>
        <w:left w:val="none" w:sz="0" w:space="0" w:color="auto"/>
        <w:bottom w:val="none" w:sz="0" w:space="0" w:color="auto"/>
        <w:right w:val="none" w:sz="0" w:space="0" w:color="auto"/>
      </w:divBdr>
    </w:div>
    <w:div w:id="105585631">
      <w:bodyDiv w:val="1"/>
      <w:marLeft w:val="0"/>
      <w:marRight w:val="0"/>
      <w:marTop w:val="0"/>
      <w:marBottom w:val="0"/>
      <w:divBdr>
        <w:top w:val="none" w:sz="0" w:space="0" w:color="auto"/>
        <w:left w:val="none" w:sz="0" w:space="0" w:color="auto"/>
        <w:bottom w:val="none" w:sz="0" w:space="0" w:color="auto"/>
        <w:right w:val="none" w:sz="0" w:space="0" w:color="auto"/>
      </w:divBdr>
    </w:div>
    <w:div w:id="113402129">
      <w:bodyDiv w:val="1"/>
      <w:marLeft w:val="0"/>
      <w:marRight w:val="0"/>
      <w:marTop w:val="0"/>
      <w:marBottom w:val="0"/>
      <w:divBdr>
        <w:top w:val="none" w:sz="0" w:space="0" w:color="auto"/>
        <w:left w:val="none" w:sz="0" w:space="0" w:color="auto"/>
        <w:bottom w:val="none" w:sz="0" w:space="0" w:color="auto"/>
        <w:right w:val="none" w:sz="0" w:space="0" w:color="auto"/>
      </w:divBdr>
    </w:div>
    <w:div w:id="137845960">
      <w:bodyDiv w:val="1"/>
      <w:marLeft w:val="0"/>
      <w:marRight w:val="0"/>
      <w:marTop w:val="0"/>
      <w:marBottom w:val="0"/>
      <w:divBdr>
        <w:top w:val="none" w:sz="0" w:space="0" w:color="auto"/>
        <w:left w:val="none" w:sz="0" w:space="0" w:color="auto"/>
        <w:bottom w:val="none" w:sz="0" w:space="0" w:color="auto"/>
        <w:right w:val="none" w:sz="0" w:space="0" w:color="auto"/>
      </w:divBdr>
    </w:div>
    <w:div w:id="140777426">
      <w:bodyDiv w:val="1"/>
      <w:marLeft w:val="0"/>
      <w:marRight w:val="0"/>
      <w:marTop w:val="0"/>
      <w:marBottom w:val="0"/>
      <w:divBdr>
        <w:top w:val="none" w:sz="0" w:space="0" w:color="auto"/>
        <w:left w:val="none" w:sz="0" w:space="0" w:color="auto"/>
        <w:bottom w:val="none" w:sz="0" w:space="0" w:color="auto"/>
        <w:right w:val="none" w:sz="0" w:space="0" w:color="auto"/>
      </w:divBdr>
    </w:div>
    <w:div w:id="266887182">
      <w:bodyDiv w:val="1"/>
      <w:marLeft w:val="0"/>
      <w:marRight w:val="0"/>
      <w:marTop w:val="0"/>
      <w:marBottom w:val="0"/>
      <w:divBdr>
        <w:top w:val="none" w:sz="0" w:space="0" w:color="auto"/>
        <w:left w:val="none" w:sz="0" w:space="0" w:color="auto"/>
        <w:bottom w:val="none" w:sz="0" w:space="0" w:color="auto"/>
        <w:right w:val="none" w:sz="0" w:space="0" w:color="auto"/>
      </w:divBdr>
    </w:div>
    <w:div w:id="301270218">
      <w:bodyDiv w:val="1"/>
      <w:marLeft w:val="0"/>
      <w:marRight w:val="0"/>
      <w:marTop w:val="0"/>
      <w:marBottom w:val="0"/>
      <w:divBdr>
        <w:top w:val="none" w:sz="0" w:space="0" w:color="auto"/>
        <w:left w:val="none" w:sz="0" w:space="0" w:color="auto"/>
        <w:bottom w:val="none" w:sz="0" w:space="0" w:color="auto"/>
        <w:right w:val="none" w:sz="0" w:space="0" w:color="auto"/>
      </w:divBdr>
    </w:div>
    <w:div w:id="315887946">
      <w:bodyDiv w:val="1"/>
      <w:marLeft w:val="0"/>
      <w:marRight w:val="0"/>
      <w:marTop w:val="0"/>
      <w:marBottom w:val="0"/>
      <w:divBdr>
        <w:top w:val="none" w:sz="0" w:space="0" w:color="auto"/>
        <w:left w:val="none" w:sz="0" w:space="0" w:color="auto"/>
        <w:bottom w:val="none" w:sz="0" w:space="0" w:color="auto"/>
        <w:right w:val="none" w:sz="0" w:space="0" w:color="auto"/>
      </w:divBdr>
    </w:div>
    <w:div w:id="318845915">
      <w:bodyDiv w:val="1"/>
      <w:marLeft w:val="0"/>
      <w:marRight w:val="0"/>
      <w:marTop w:val="0"/>
      <w:marBottom w:val="0"/>
      <w:divBdr>
        <w:top w:val="none" w:sz="0" w:space="0" w:color="auto"/>
        <w:left w:val="none" w:sz="0" w:space="0" w:color="auto"/>
        <w:bottom w:val="none" w:sz="0" w:space="0" w:color="auto"/>
        <w:right w:val="none" w:sz="0" w:space="0" w:color="auto"/>
      </w:divBdr>
    </w:div>
    <w:div w:id="345641625">
      <w:bodyDiv w:val="1"/>
      <w:marLeft w:val="0"/>
      <w:marRight w:val="0"/>
      <w:marTop w:val="0"/>
      <w:marBottom w:val="0"/>
      <w:divBdr>
        <w:top w:val="none" w:sz="0" w:space="0" w:color="auto"/>
        <w:left w:val="none" w:sz="0" w:space="0" w:color="auto"/>
        <w:bottom w:val="none" w:sz="0" w:space="0" w:color="auto"/>
        <w:right w:val="none" w:sz="0" w:space="0" w:color="auto"/>
      </w:divBdr>
    </w:div>
    <w:div w:id="351496402">
      <w:bodyDiv w:val="1"/>
      <w:marLeft w:val="0"/>
      <w:marRight w:val="0"/>
      <w:marTop w:val="0"/>
      <w:marBottom w:val="0"/>
      <w:divBdr>
        <w:top w:val="none" w:sz="0" w:space="0" w:color="auto"/>
        <w:left w:val="none" w:sz="0" w:space="0" w:color="auto"/>
        <w:bottom w:val="none" w:sz="0" w:space="0" w:color="auto"/>
        <w:right w:val="none" w:sz="0" w:space="0" w:color="auto"/>
      </w:divBdr>
    </w:div>
    <w:div w:id="396131707">
      <w:bodyDiv w:val="1"/>
      <w:marLeft w:val="0"/>
      <w:marRight w:val="0"/>
      <w:marTop w:val="0"/>
      <w:marBottom w:val="0"/>
      <w:divBdr>
        <w:top w:val="none" w:sz="0" w:space="0" w:color="auto"/>
        <w:left w:val="none" w:sz="0" w:space="0" w:color="auto"/>
        <w:bottom w:val="none" w:sz="0" w:space="0" w:color="auto"/>
        <w:right w:val="none" w:sz="0" w:space="0" w:color="auto"/>
      </w:divBdr>
    </w:div>
    <w:div w:id="405078756">
      <w:bodyDiv w:val="1"/>
      <w:marLeft w:val="0"/>
      <w:marRight w:val="0"/>
      <w:marTop w:val="0"/>
      <w:marBottom w:val="0"/>
      <w:divBdr>
        <w:top w:val="none" w:sz="0" w:space="0" w:color="auto"/>
        <w:left w:val="none" w:sz="0" w:space="0" w:color="auto"/>
        <w:bottom w:val="none" w:sz="0" w:space="0" w:color="auto"/>
        <w:right w:val="none" w:sz="0" w:space="0" w:color="auto"/>
      </w:divBdr>
    </w:div>
    <w:div w:id="415857683">
      <w:bodyDiv w:val="1"/>
      <w:marLeft w:val="0"/>
      <w:marRight w:val="0"/>
      <w:marTop w:val="0"/>
      <w:marBottom w:val="0"/>
      <w:divBdr>
        <w:top w:val="none" w:sz="0" w:space="0" w:color="auto"/>
        <w:left w:val="none" w:sz="0" w:space="0" w:color="auto"/>
        <w:bottom w:val="none" w:sz="0" w:space="0" w:color="auto"/>
        <w:right w:val="none" w:sz="0" w:space="0" w:color="auto"/>
      </w:divBdr>
    </w:div>
    <w:div w:id="437678217">
      <w:bodyDiv w:val="1"/>
      <w:marLeft w:val="0"/>
      <w:marRight w:val="0"/>
      <w:marTop w:val="0"/>
      <w:marBottom w:val="0"/>
      <w:divBdr>
        <w:top w:val="none" w:sz="0" w:space="0" w:color="auto"/>
        <w:left w:val="none" w:sz="0" w:space="0" w:color="auto"/>
        <w:bottom w:val="none" w:sz="0" w:space="0" w:color="auto"/>
        <w:right w:val="none" w:sz="0" w:space="0" w:color="auto"/>
      </w:divBdr>
    </w:div>
    <w:div w:id="440496726">
      <w:bodyDiv w:val="1"/>
      <w:marLeft w:val="0"/>
      <w:marRight w:val="0"/>
      <w:marTop w:val="0"/>
      <w:marBottom w:val="0"/>
      <w:divBdr>
        <w:top w:val="none" w:sz="0" w:space="0" w:color="auto"/>
        <w:left w:val="none" w:sz="0" w:space="0" w:color="auto"/>
        <w:bottom w:val="none" w:sz="0" w:space="0" w:color="auto"/>
        <w:right w:val="none" w:sz="0" w:space="0" w:color="auto"/>
      </w:divBdr>
    </w:div>
    <w:div w:id="453211556">
      <w:bodyDiv w:val="1"/>
      <w:marLeft w:val="0"/>
      <w:marRight w:val="0"/>
      <w:marTop w:val="0"/>
      <w:marBottom w:val="0"/>
      <w:divBdr>
        <w:top w:val="none" w:sz="0" w:space="0" w:color="auto"/>
        <w:left w:val="none" w:sz="0" w:space="0" w:color="auto"/>
        <w:bottom w:val="none" w:sz="0" w:space="0" w:color="auto"/>
        <w:right w:val="none" w:sz="0" w:space="0" w:color="auto"/>
      </w:divBdr>
    </w:div>
    <w:div w:id="460999783">
      <w:bodyDiv w:val="1"/>
      <w:marLeft w:val="0"/>
      <w:marRight w:val="0"/>
      <w:marTop w:val="0"/>
      <w:marBottom w:val="0"/>
      <w:divBdr>
        <w:top w:val="none" w:sz="0" w:space="0" w:color="auto"/>
        <w:left w:val="none" w:sz="0" w:space="0" w:color="auto"/>
        <w:bottom w:val="none" w:sz="0" w:space="0" w:color="auto"/>
        <w:right w:val="none" w:sz="0" w:space="0" w:color="auto"/>
      </w:divBdr>
    </w:div>
    <w:div w:id="465633931">
      <w:bodyDiv w:val="1"/>
      <w:marLeft w:val="0"/>
      <w:marRight w:val="0"/>
      <w:marTop w:val="0"/>
      <w:marBottom w:val="0"/>
      <w:divBdr>
        <w:top w:val="none" w:sz="0" w:space="0" w:color="auto"/>
        <w:left w:val="none" w:sz="0" w:space="0" w:color="auto"/>
        <w:bottom w:val="none" w:sz="0" w:space="0" w:color="auto"/>
        <w:right w:val="none" w:sz="0" w:space="0" w:color="auto"/>
      </w:divBdr>
    </w:div>
    <w:div w:id="499004962">
      <w:bodyDiv w:val="1"/>
      <w:marLeft w:val="0"/>
      <w:marRight w:val="0"/>
      <w:marTop w:val="0"/>
      <w:marBottom w:val="0"/>
      <w:divBdr>
        <w:top w:val="none" w:sz="0" w:space="0" w:color="auto"/>
        <w:left w:val="none" w:sz="0" w:space="0" w:color="auto"/>
        <w:bottom w:val="none" w:sz="0" w:space="0" w:color="auto"/>
        <w:right w:val="none" w:sz="0" w:space="0" w:color="auto"/>
      </w:divBdr>
    </w:div>
    <w:div w:id="521357460">
      <w:bodyDiv w:val="1"/>
      <w:marLeft w:val="0"/>
      <w:marRight w:val="0"/>
      <w:marTop w:val="0"/>
      <w:marBottom w:val="0"/>
      <w:divBdr>
        <w:top w:val="none" w:sz="0" w:space="0" w:color="auto"/>
        <w:left w:val="none" w:sz="0" w:space="0" w:color="auto"/>
        <w:bottom w:val="none" w:sz="0" w:space="0" w:color="auto"/>
        <w:right w:val="none" w:sz="0" w:space="0" w:color="auto"/>
      </w:divBdr>
    </w:div>
    <w:div w:id="540292159">
      <w:bodyDiv w:val="1"/>
      <w:marLeft w:val="0"/>
      <w:marRight w:val="0"/>
      <w:marTop w:val="0"/>
      <w:marBottom w:val="0"/>
      <w:divBdr>
        <w:top w:val="none" w:sz="0" w:space="0" w:color="auto"/>
        <w:left w:val="none" w:sz="0" w:space="0" w:color="auto"/>
        <w:bottom w:val="none" w:sz="0" w:space="0" w:color="auto"/>
        <w:right w:val="none" w:sz="0" w:space="0" w:color="auto"/>
      </w:divBdr>
    </w:div>
    <w:div w:id="545526452">
      <w:bodyDiv w:val="1"/>
      <w:marLeft w:val="0"/>
      <w:marRight w:val="0"/>
      <w:marTop w:val="0"/>
      <w:marBottom w:val="0"/>
      <w:divBdr>
        <w:top w:val="none" w:sz="0" w:space="0" w:color="auto"/>
        <w:left w:val="none" w:sz="0" w:space="0" w:color="auto"/>
        <w:bottom w:val="none" w:sz="0" w:space="0" w:color="auto"/>
        <w:right w:val="none" w:sz="0" w:space="0" w:color="auto"/>
      </w:divBdr>
    </w:div>
    <w:div w:id="565187717">
      <w:bodyDiv w:val="1"/>
      <w:marLeft w:val="0"/>
      <w:marRight w:val="0"/>
      <w:marTop w:val="0"/>
      <w:marBottom w:val="0"/>
      <w:divBdr>
        <w:top w:val="none" w:sz="0" w:space="0" w:color="auto"/>
        <w:left w:val="none" w:sz="0" w:space="0" w:color="auto"/>
        <w:bottom w:val="none" w:sz="0" w:space="0" w:color="auto"/>
        <w:right w:val="none" w:sz="0" w:space="0" w:color="auto"/>
      </w:divBdr>
    </w:div>
    <w:div w:id="578029404">
      <w:bodyDiv w:val="1"/>
      <w:marLeft w:val="0"/>
      <w:marRight w:val="0"/>
      <w:marTop w:val="0"/>
      <w:marBottom w:val="0"/>
      <w:divBdr>
        <w:top w:val="none" w:sz="0" w:space="0" w:color="auto"/>
        <w:left w:val="none" w:sz="0" w:space="0" w:color="auto"/>
        <w:bottom w:val="none" w:sz="0" w:space="0" w:color="auto"/>
        <w:right w:val="none" w:sz="0" w:space="0" w:color="auto"/>
      </w:divBdr>
    </w:div>
    <w:div w:id="598491060">
      <w:bodyDiv w:val="1"/>
      <w:marLeft w:val="0"/>
      <w:marRight w:val="0"/>
      <w:marTop w:val="0"/>
      <w:marBottom w:val="0"/>
      <w:divBdr>
        <w:top w:val="none" w:sz="0" w:space="0" w:color="auto"/>
        <w:left w:val="none" w:sz="0" w:space="0" w:color="auto"/>
        <w:bottom w:val="none" w:sz="0" w:space="0" w:color="auto"/>
        <w:right w:val="none" w:sz="0" w:space="0" w:color="auto"/>
      </w:divBdr>
    </w:div>
    <w:div w:id="606544925">
      <w:bodyDiv w:val="1"/>
      <w:marLeft w:val="0"/>
      <w:marRight w:val="0"/>
      <w:marTop w:val="0"/>
      <w:marBottom w:val="0"/>
      <w:divBdr>
        <w:top w:val="none" w:sz="0" w:space="0" w:color="auto"/>
        <w:left w:val="none" w:sz="0" w:space="0" w:color="auto"/>
        <w:bottom w:val="none" w:sz="0" w:space="0" w:color="auto"/>
        <w:right w:val="none" w:sz="0" w:space="0" w:color="auto"/>
      </w:divBdr>
    </w:div>
    <w:div w:id="609623575">
      <w:bodyDiv w:val="1"/>
      <w:marLeft w:val="0"/>
      <w:marRight w:val="0"/>
      <w:marTop w:val="0"/>
      <w:marBottom w:val="0"/>
      <w:divBdr>
        <w:top w:val="none" w:sz="0" w:space="0" w:color="auto"/>
        <w:left w:val="none" w:sz="0" w:space="0" w:color="auto"/>
        <w:bottom w:val="none" w:sz="0" w:space="0" w:color="auto"/>
        <w:right w:val="none" w:sz="0" w:space="0" w:color="auto"/>
      </w:divBdr>
    </w:div>
    <w:div w:id="611130991">
      <w:bodyDiv w:val="1"/>
      <w:marLeft w:val="0"/>
      <w:marRight w:val="0"/>
      <w:marTop w:val="0"/>
      <w:marBottom w:val="0"/>
      <w:divBdr>
        <w:top w:val="none" w:sz="0" w:space="0" w:color="auto"/>
        <w:left w:val="none" w:sz="0" w:space="0" w:color="auto"/>
        <w:bottom w:val="none" w:sz="0" w:space="0" w:color="auto"/>
        <w:right w:val="none" w:sz="0" w:space="0" w:color="auto"/>
      </w:divBdr>
    </w:div>
    <w:div w:id="637994127">
      <w:bodyDiv w:val="1"/>
      <w:marLeft w:val="0"/>
      <w:marRight w:val="0"/>
      <w:marTop w:val="0"/>
      <w:marBottom w:val="0"/>
      <w:divBdr>
        <w:top w:val="none" w:sz="0" w:space="0" w:color="auto"/>
        <w:left w:val="none" w:sz="0" w:space="0" w:color="auto"/>
        <w:bottom w:val="none" w:sz="0" w:space="0" w:color="auto"/>
        <w:right w:val="none" w:sz="0" w:space="0" w:color="auto"/>
      </w:divBdr>
    </w:div>
    <w:div w:id="650715248">
      <w:bodyDiv w:val="1"/>
      <w:marLeft w:val="0"/>
      <w:marRight w:val="0"/>
      <w:marTop w:val="0"/>
      <w:marBottom w:val="0"/>
      <w:divBdr>
        <w:top w:val="none" w:sz="0" w:space="0" w:color="auto"/>
        <w:left w:val="none" w:sz="0" w:space="0" w:color="auto"/>
        <w:bottom w:val="none" w:sz="0" w:space="0" w:color="auto"/>
        <w:right w:val="none" w:sz="0" w:space="0" w:color="auto"/>
      </w:divBdr>
    </w:div>
    <w:div w:id="674302675">
      <w:bodyDiv w:val="1"/>
      <w:marLeft w:val="0"/>
      <w:marRight w:val="0"/>
      <w:marTop w:val="0"/>
      <w:marBottom w:val="0"/>
      <w:divBdr>
        <w:top w:val="none" w:sz="0" w:space="0" w:color="auto"/>
        <w:left w:val="none" w:sz="0" w:space="0" w:color="auto"/>
        <w:bottom w:val="none" w:sz="0" w:space="0" w:color="auto"/>
        <w:right w:val="none" w:sz="0" w:space="0" w:color="auto"/>
      </w:divBdr>
    </w:div>
    <w:div w:id="693305448">
      <w:bodyDiv w:val="1"/>
      <w:marLeft w:val="0"/>
      <w:marRight w:val="0"/>
      <w:marTop w:val="0"/>
      <w:marBottom w:val="0"/>
      <w:divBdr>
        <w:top w:val="none" w:sz="0" w:space="0" w:color="auto"/>
        <w:left w:val="none" w:sz="0" w:space="0" w:color="auto"/>
        <w:bottom w:val="none" w:sz="0" w:space="0" w:color="auto"/>
        <w:right w:val="none" w:sz="0" w:space="0" w:color="auto"/>
      </w:divBdr>
    </w:div>
    <w:div w:id="723412334">
      <w:bodyDiv w:val="1"/>
      <w:marLeft w:val="0"/>
      <w:marRight w:val="0"/>
      <w:marTop w:val="0"/>
      <w:marBottom w:val="0"/>
      <w:divBdr>
        <w:top w:val="none" w:sz="0" w:space="0" w:color="auto"/>
        <w:left w:val="none" w:sz="0" w:space="0" w:color="auto"/>
        <w:bottom w:val="none" w:sz="0" w:space="0" w:color="auto"/>
        <w:right w:val="none" w:sz="0" w:space="0" w:color="auto"/>
      </w:divBdr>
    </w:div>
    <w:div w:id="730270199">
      <w:bodyDiv w:val="1"/>
      <w:marLeft w:val="0"/>
      <w:marRight w:val="0"/>
      <w:marTop w:val="0"/>
      <w:marBottom w:val="0"/>
      <w:divBdr>
        <w:top w:val="none" w:sz="0" w:space="0" w:color="auto"/>
        <w:left w:val="none" w:sz="0" w:space="0" w:color="auto"/>
        <w:bottom w:val="none" w:sz="0" w:space="0" w:color="auto"/>
        <w:right w:val="none" w:sz="0" w:space="0" w:color="auto"/>
      </w:divBdr>
    </w:div>
    <w:div w:id="806363979">
      <w:bodyDiv w:val="1"/>
      <w:marLeft w:val="0"/>
      <w:marRight w:val="0"/>
      <w:marTop w:val="0"/>
      <w:marBottom w:val="0"/>
      <w:divBdr>
        <w:top w:val="none" w:sz="0" w:space="0" w:color="auto"/>
        <w:left w:val="none" w:sz="0" w:space="0" w:color="auto"/>
        <w:bottom w:val="none" w:sz="0" w:space="0" w:color="auto"/>
        <w:right w:val="none" w:sz="0" w:space="0" w:color="auto"/>
      </w:divBdr>
    </w:div>
    <w:div w:id="845440159">
      <w:bodyDiv w:val="1"/>
      <w:marLeft w:val="0"/>
      <w:marRight w:val="0"/>
      <w:marTop w:val="0"/>
      <w:marBottom w:val="0"/>
      <w:divBdr>
        <w:top w:val="none" w:sz="0" w:space="0" w:color="auto"/>
        <w:left w:val="none" w:sz="0" w:space="0" w:color="auto"/>
        <w:bottom w:val="none" w:sz="0" w:space="0" w:color="auto"/>
        <w:right w:val="none" w:sz="0" w:space="0" w:color="auto"/>
      </w:divBdr>
    </w:div>
    <w:div w:id="869611414">
      <w:bodyDiv w:val="1"/>
      <w:marLeft w:val="0"/>
      <w:marRight w:val="0"/>
      <w:marTop w:val="0"/>
      <w:marBottom w:val="0"/>
      <w:divBdr>
        <w:top w:val="none" w:sz="0" w:space="0" w:color="auto"/>
        <w:left w:val="none" w:sz="0" w:space="0" w:color="auto"/>
        <w:bottom w:val="none" w:sz="0" w:space="0" w:color="auto"/>
        <w:right w:val="none" w:sz="0" w:space="0" w:color="auto"/>
      </w:divBdr>
    </w:div>
    <w:div w:id="872234836">
      <w:bodyDiv w:val="1"/>
      <w:marLeft w:val="0"/>
      <w:marRight w:val="0"/>
      <w:marTop w:val="0"/>
      <w:marBottom w:val="0"/>
      <w:divBdr>
        <w:top w:val="none" w:sz="0" w:space="0" w:color="auto"/>
        <w:left w:val="none" w:sz="0" w:space="0" w:color="auto"/>
        <w:bottom w:val="none" w:sz="0" w:space="0" w:color="auto"/>
        <w:right w:val="none" w:sz="0" w:space="0" w:color="auto"/>
      </w:divBdr>
    </w:div>
    <w:div w:id="879895949">
      <w:bodyDiv w:val="1"/>
      <w:marLeft w:val="0"/>
      <w:marRight w:val="0"/>
      <w:marTop w:val="0"/>
      <w:marBottom w:val="0"/>
      <w:divBdr>
        <w:top w:val="none" w:sz="0" w:space="0" w:color="auto"/>
        <w:left w:val="none" w:sz="0" w:space="0" w:color="auto"/>
        <w:bottom w:val="none" w:sz="0" w:space="0" w:color="auto"/>
        <w:right w:val="none" w:sz="0" w:space="0" w:color="auto"/>
      </w:divBdr>
    </w:div>
    <w:div w:id="967128680">
      <w:bodyDiv w:val="1"/>
      <w:marLeft w:val="0"/>
      <w:marRight w:val="0"/>
      <w:marTop w:val="0"/>
      <w:marBottom w:val="0"/>
      <w:divBdr>
        <w:top w:val="none" w:sz="0" w:space="0" w:color="auto"/>
        <w:left w:val="none" w:sz="0" w:space="0" w:color="auto"/>
        <w:bottom w:val="none" w:sz="0" w:space="0" w:color="auto"/>
        <w:right w:val="none" w:sz="0" w:space="0" w:color="auto"/>
      </w:divBdr>
    </w:div>
    <w:div w:id="1004014906">
      <w:bodyDiv w:val="1"/>
      <w:marLeft w:val="0"/>
      <w:marRight w:val="0"/>
      <w:marTop w:val="0"/>
      <w:marBottom w:val="0"/>
      <w:divBdr>
        <w:top w:val="none" w:sz="0" w:space="0" w:color="auto"/>
        <w:left w:val="none" w:sz="0" w:space="0" w:color="auto"/>
        <w:bottom w:val="none" w:sz="0" w:space="0" w:color="auto"/>
        <w:right w:val="none" w:sz="0" w:space="0" w:color="auto"/>
      </w:divBdr>
    </w:div>
    <w:div w:id="1048072682">
      <w:bodyDiv w:val="1"/>
      <w:marLeft w:val="0"/>
      <w:marRight w:val="0"/>
      <w:marTop w:val="0"/>
      <w:marBottom w:val="0"/>
      <w:divBdr>
        <w:top w:val="none" w:sz="0" w:space="0" w:color="auto"/>
        <w:left w:val="none" w:sz="0" w:space="0" w:color="auto"/>
        <w:bottom w:val="none" w:sz="0" w:space="0" w:color="auto"/>
        <w:right w:val="none" w:sz="0" w:space="0" w:color="auto"/>
      </w:divBdr>
    </w:div>
    <w:div w:id="1057320770">
      <w:bodyDiv w:val="1"/>
      <w:marLeft w:val="0"/>
      <w:marRight w:val="0"/>
      <w:marTop w:val="0"/>
      <w:marBottom w:val="0"/>
      <w:divBdr>
        <w:top w:val="none" w:sz="0" w:space="0" w:color="auto"/>
        <w:left w:val="none" w:sz="0" w:space="0" w:color="auto"/>
        <w:bottom w:val="none" w:sz="0" w:space="0" w:color="auto"/>
        <w:right w:val="none" w:sz="0" w:space="0" w:color="auto"/>
      </w:divBdr>
    </w:div>
    <w:div w:id="1085806449">
      <w:bodyDiv w:val="1"/>
      <w:marLeft w:val="0"/>
      <w:marRight w:val="0"/>
      <w:marTop w:val="0"/>
      <w:marBottom w:val="0"/>
      <w:divBdr>
        <w:top w:val="none" w:sz="0" w:space="0" w:color="auto"/>
        <w:left w:val="none" w:sz="0" w:space="0" w:color="auto"/>
        <w:bottom w:val="none" w:sz="0" w:space="0" w:color="auto"/>
        <w:right w:val="none" w:sz="0" w:space="0" w:color="auto"/>
      </w:divBdr>
    </w:div>
    <w:div w:id="1124348392">
      <w:bodyDiv w:val="1"/>
      <w:marLeft w:val="0"/>
      <w:marRight w:val="0"/>
      <w:marTop w:val="0"/>
      <w:marBottom w:val="0"/>
      <w:divBdr>
        <w:top w:val="none" w:sz="0" w:space="0" w:color="auto"/>
        <w:left w:val="none" w:sz="0" w:space="0" w:color="auto"/>
        <w:bottom w:val="none" w:sz="0" w:space="0" w:color="auto"/>
        <w:right w:val="none" w:sz="0" w:space="0" w:color="auto"/>
      </w:divBdr>
    </w:div>
    <w:div w:id="1146698840">
      <w:bodyDiv w:val="1"/>
      <w:marLeft w:val="0"/>
      <w:marRight w:val="0"/>
      <w:marTop w:val="0"/>
      <w:marBottom w:val="0"/>
      <w:divBdr>
        <w:top w:val="none" w:sz="0" w:space="0" w:color="auto"/>
        <w:left w:val="none" w:sz="0" w:space="0" w:color="auto"/>
        <w:bottom w:val="none" w:sz="0" w:space="0" w:color="auto"/>
        <w:right w:val="none" w:sz="0" w:space="0" w:color="auto"/>
      </w:divBdr>
    </w:div>
    <w:div w:id="1159921764">
      <w:bodyDiv w:val="1"/>
      <w:marLeft w:val="0"/>
      <w:marRight w:val="0"/>
      <w:marTop w:val="0"/>
      <w:marBottom w:val="0"/>
      <w:divBdr>
        <w:top w:val="none" w:sz="0" w:space="0" w:color="auto"/>
        <w:left w:val="none" w:sz="0" w:space="0" w:color="auto"/>
        <w:bottom w:val="none" w:sz="0" w:space="0" w:color="auto"/>
        <w:right w:val="none" w:sz="0" w:space="0" w:color="auto"/>
      </w:divBdr>
    </w:div>
    <w:div w:id="1197691411">
      <w:bodyDiv w:val="1"/>
      <w:marLeft w:val="0"/>
      <w:marRight w:val="0"/>
      <w:marTop w:val="0"/>
      <w:marBottom w:val="0"/>
      <w:divBdr>
        <w:top w:val="none" w:sz="0" w:space="0" w:color="auto"/>
        <w:left w:val="none" w:sz="0" w:space="0" w:color="auto"/>
        <w:bottom w:val="none" w:sz="0" w:space="0" w:color="auto"/>
        <w:right w:val="none" w:sz="0" w:space="0" w:color="auto"/>
      </w:divBdr>
    </w:div>
    <w:div w:id="1209368322">
      <w:bodyDiv w:val="1"/>
      <w:marLeft w:val="0"/>
      <w:marRight w:val="0"/>
      <w:marTop w:val="0"/>
      <w:marBottom w:val="0"/>
      <w:divBdr>
        <w:top w:val="none" w:sz="0" w:space="0" w:color="auto"/>
        <w:left w:val="none" w:sz="0" w:space="0" w:color="auto"/>
        <w:bottom w:val="none" w:sz="0" w:space="0" w:color="auto"/>
        <w:right w:val="none" w:sz="0" w:space="0" w:color="auto"/>
      </w:divBdr>
    </w:div>
    <w:div w:id="1214658598">
      <w:bodyDiv w:val="1"/>
      <w:marLeft w:val="0"/>
      <w:marRight w:val="0"/>
      <w:marTop w:val="0"/>
      <w:marBottom w:val="0"/>
      <w:divBdr>
        <w:top w:val="none" w:sz="0" w:space="0" w:color="auto"/>
        <w:left w:val="none" w:sz="0" w:space="0" w:color="auto"/>
        <w:bottom w:val="none" w:sz="0" w:space="0" w:color="auto"/>
        <w:right w:val="none" w:sz="0" w:space="0" w:color="auto"/>
      </w:divBdr>
    </w:div>
    <w:div w:id="1218396267">
      <w:bodyDiv w:val="1"/>
      <w:marLeft w:val="0"/>
      <w:marRight w:val="0"/>
      <w:marTop w:val="0"/>
      <w:marBottom w:val="0"/>
      <w:divBdr>
        <w:top w:val="none" w:sz="0" w:space="0" w:color="auto"/>
        <w:left w:val="none" w:sz="0" w:space="0" w:color="auto"/>
        <w:bottom w:val="none" w:sz="0" w:space="0" w:color="auto"/>
        <w:right w:val="none" w:sz="0" w:space="0" w:color="auto"/>
      </w:divBdr>
    </w:div>
    <w:div w:id="1287007033">
      <w:bodyDiv w:val="1"/>
      <w:marLeft w:val="0"/>
      <w:marRight w:val="0"/>
      <w:marTop w:val="0"/>
      <w:marBottom w:val="0"/>
      <w:divBdr>
        <w:top w:val="none" w:sz="0" w:space="0" w:color="auto"/>
        <w:left w:val="none" w:sz="0" w:space="0" w:color="auto"/>
        <w:bottom w:val="none" w:sz="0" w:space="0" w:color="auto"/>
        <w:right w:val="none" w:sz="0" w:space="0" w:color="auto"/>
      </w:divBdr>
    </w:div>
    <w:div w:id="1300108846">
      <w:bodyDiv w:val="1"/>
      <w:marLeft w:val="0"/>
      <w:marRight w:val="0"/>
      <w:marTop w:val="0"/>
      <w:marBottom w:val="0"/>
      <w:divBdr>
        <w:top w:val="none" w:sz="0" w:space="0" w:color="auto"/>
        <w:left w:val="none" w:sz="0" w:space="0" w:color="auto"/>
        <w:bottom w:val="none" w:sz="0" w:space="0" w:color="auto"/>
        <w:right w:val="none" w:sz="0" w:space="0" w:color="auto"/>
      </w:divBdr>
    </w:div>
    <w:div w:id="1361274609">
      <w:bodyDiv w:val="1"/>
      <w:marLeft w:val="0"/>
      <w:marRight w:val="0"/>
      <w:marTop w:val="0"/>
      <w:marBottom w:val="0"/>
      <w:divBdr>
        <w:top w:val="none" w:sz="0" w:space="0" w:color="auto"/>
        <w:left w:val="none" w:sz="0" w:space="0" w:color="auto"/>
        <w:bottom w:val="none" w:sz="0" w:space="0" w:color="auto"/>
        <w:right w:val="none" w:sz="0" w:space="0" w:color="auto"/>
      </w:divBdr>
    </w:div>
    <w:div w:id="1401437592">
      <w:bodyDiv w:val="1"/>
      <w:marLeft w:val="0"/>
      <w:marRight w:val="0"/>
      <w:marTop w:val="0"/>
      <w:marBottom w:val="0"/>
      <w:divBdr>
        <w:top w:val="none" w:sz="0" w:space="0" w:color="auto"/>
        <w:left w:val="none" w:sz="0" w:space="0" w:color="auto"/>
        <w:bottom w:val="none" w:sz="0" w:space="0" w:color="auto"/>
        <w:right w:val="none" w:sz="0" w:space="0" w:color="auto"/>
      </w:divBdr>
    </w:div>
    <w:div w:id="1418090063">
      <w:bodyDiv w:val="1"/>
      <w:marLeft w:val="0"/>
      <w:marRight w:val="0"/>
      <w:marTop w:val="0"/>
      <w:marBottom w:val="0"/>
      <w:divBdr>
        <w:top w:val="none" w:sz="0" w:space="0" w:color="auto"/>
        <w:left w:val="none" w:sz="0" w:space="0" w:color="auto"/>
        <w:bottom w:val="none" w:sz="0" w:space="0" w:color="auto"/>
        <w:right w:val="none" w:sz="0" w:space="0" w:color="auto"/>
      </w:divBdr>
    </w:div>
    <w:div w:id="1445227022">
      <w:bodyDiv w:val="1"/>
      <w:marLeft w:val="0"/>
      <w:marRight w:val="0"/>
      <w:marTop w:val="0"/>
      <w:marBottom w:val="0"/>
      <w:divBdr>
        <w:top w:val="none" w:sz="0" w:space="0" w:color="auto"/>
        <w:left w:val="none" w:sz="0" w:space="0" w:color="auto"/>
        <w:bottom w:val="none" w:sz="0" w:space="0" w:color="auto"/>
        <w:right w:val="none" w:sz="0" w:space="0" w:color="auto"/>
      </w:divBdr>
    </w:div>
    <w:div w:id="1449003568">
      <w:bodyDiv w:val="1"/>
      <w:marLeft w:val="0"/>
      <w:marRight w:val="0"/>
      <w:marTop w:val="0"/>
      <w:marBottom w:val="0"/>
      <w:divBdr>
        <w:top w:val="none" w:sz="0" w:space="0" w:color="auto"/>
        <w:left w:val="none" w:sz="0" w:space="0" w:color="auto"/>
        <w:bottom w:val="none" w:sz="0" w:space="0" w:color="auto"/>
        <w:right w:val="none" w:sz="0" w:space="0" w:color="auto"/>
      </w:divBdr>
    </w:div>
    <w:div w:id="1483808430">
      <w:bodyDiv w:val="1"/>
      <w:marLeft w:val="0"/>
      <w:marRight w:val="0"/>
      <w:marTop w:val="0"/>
      <w:marBottom w:val="0"/>
      <w:divBdr>
        <w:top w:val="none" w:sz="0" w:space="0" w:color="auto"/>
        <w:left w:val="none" w:sz="0" w:space="0" w:color="auto"/>
        <w:bottom w:val="none" w:sz="0" w:space="0" w:color="auto"/>
        <w:right w:val="none" w:sz="0" w:space="0" w:color="auto"/>
      </w:divBdr>
    </w:div>
    <w:div w:id="1490632446">
      <w:bodyDiv w:val="1"/>
      <w:marLeft w:val="0"/>
      <w:marRight w:val="0"/>
      <w:marTop w:val="0"/>
      <w:marBottom w:val="0"/>
      <w:divBdr>
        <w:top w:val="none" w:sz="0" w:space="0" w:color="auto"/>
        <w:left w:val="none" w:sz="0" w:space="0" w:color="auto"/>
        <w:bottom w:val="none" w:sz="0" w:space="0" w:color="auto"/>
        <w:right w:val="none" w:sz="0" w:space="0" w:color="auto"/>
      </w:divBdr>
    </w:div>
    <w:div w:id="1495339766">
      <w:bodyDiv w:val="1"/>
      <w:marLeft w:val="0"/>
      <w:marRight w:val="0"/>
      <w:marTop w:val="0"/>
      <w:marBottom w:val="0"/>
      <w:divBdr>
        <w:top w:val="none" w:sz="0" w:space="0" w:color="auto"/>
        <w:left w:val="none" w:sz="0" w:space="0" w:color="auto"/>
        <w:bottom w:val="none" w:sz="0" w:space="0" w:color="auto"/>
        <w:right w:val="none" w:sz="0" w:space="0" w:color="auto"/>
      </w:divBdr>
    </w:div>
    <w:div w:id="1503007502">
      <w:bodyDiv w:val="1"/>
      <w:marLeft w:val="0"/>
      <w:marRight w:val="0"/>
      <w:marTop w:val="0"/>
      <w:marBottom w:val="0"/>
      <w:divBdr>
        <w:top w:val="none" w:sz="0" w:space="0" w:color="auto"/>
        <w:left w:val="none" w:sz="0" w:space="0" w:color="auto"/>
        <w:bottom w:val="none" w:sz="0" w:space="0" w:color="auto"/>
        <w:right w:val="none" w:sz="0" w:space="0" w:color="auto"/>
      </w:divBdr>
    </w:div>
    <w:div w:id="1511991316">
      <w:bodyDiv w:val="1"/>
      <w:marLeft w:val="0"/>
      <w:marRight w:val="0"/>
      <w:marTop w:val="0"/>
      <w:marBottom w:val="0"/>
      <w:divBdr>
        <w:top w:val="none" w:sz="0" w:space="0" w:color="auto"/>
        <w:left w:val="none" w:sz="0" w:space="0" w:color="auto"/>
        <w:bottom w:val="none" w:sz="0" w:space="0" w:color="auto"/>
        <w:right w:val="none" w:sz="0" w:space="0" w:color="auto"/>
      </w:divBdr>
    </w:div>
    <w:div w:id="1517501917">
      <w:bodyDiv w:val="1"/>
      <w:marLeft w:val="0"/>
      <w:marRight w:val="0"/>
      <w:marTop w:val="0"/>
      <w:marBottom w:val="0"/>
      <w:divBdr>
        <w:top w:val="none" w:sz="0" w:space="0" w:color="auto"/>
        <w:left w:val="none" w:sz="0" w:space="0" w:color="auto"/>
        <w:bottom w:val="none" w:sz="0" w:space="0" w:color="auto"/>
        <w:right w:val="none" w:sz="0" w:space="0" w:color="auto"/>
      </w:divBdr>
    </w:div>
    <w:div w:id="1537158374">
      <w:bodyDiv w:val="1"/>
      <w:marLeft w:val="0"/>
      <w:marRight w:val="0"/>
      <w:marTop w:val="0"/>
      <w:marBottom w:val="0"/>
      <w:divBdr>
        <w:top w:val="none" w:sz="0" w:space="0" w:color="auto"/>
        <w:left w:val="none" w:sz="0" w:space="0" w:color="auto"/>
        <w:bottom w:val="none" w:sz="0" w:space="0" w:color="auto"/>
        <w:right w:val="none" w:sz="0" w:space="0" w:color="auto"/>
      </w:divBdr>
    </w:div>
    <w:div w:id="1544832547">
      <w:bodyDiv w:val="1"/>
      <w:marLeft w:val="0"/>
      <w:marRight w:val="0"/>
      <w:marTop w:val="0"/>
      <w:marBottom w:val="0"/>
      <w:divBdr>
        <w:top w:val="none" w:sz="0" w:space="0" w:color="auto"/>
        <w:left w:val="none" w:sz="0" w:space="0" w:color="auto"/>
        <w:bottom w:val="none" w:sz="0" w:space="0" w:color="auto"/>
        <w:right w:val="none" w:sz="0" w:space="0" w:color="auto"/>
      </w:divBdr>
    </w:div>
    <w:div w:id="1557355286">
      <w:bodyDiv w:val="1"/>
      <w:marLeft w:val="0"/>
      <w:marRight w:val="0"/>
      <w:marTop w:val="0"/>
      <w:marBottom w:val="0"/>
      <w:divBdr>
        <w:top w:val="none" w:sz="0" w:space="0" w:color="auto"/>
        <w:left w:val="none" w:sz="0" w:space="0" w:color="auto"/>
        <w:bottom w:val="none" w:sz="0" w:space="0" w:color="auto"/>
        <w:right w:val="none" w:sz="0" w:space="0" w:color="auto"/>
      </w:divBdr>
    </w:div>
    <w:div w:id="1582564962">
      <w:bodyDiv w:val="1"/>
      <w:marLeft w:val="0"/>
      <w:marRight w:val="0"/>
      <w:marTop w:val="0"/>
      <w:marBottom w:val="0"/>
      <w:divBdr>
        <w:top w:val="none" w:sz="0" w:space="0" w:color="auto"/>
        <w:left w:val="none" w:sz="0" w:space="0" w:color="auto"/>
        <w:bottom w:val="none" w:sz="0" w:space="0" w:color="auto"/>
        <w:right w:val="none" w:sz="0" w:space="0" w:color="auto"/>
      </w:divBdr>
    </w:div>
    <w:div w:id="1597129560">
      <w:bodyDiv w:val="1"/>
      <w:marLeft w:val="0"/>
      <w:marRight w:val="0"/>
      <w:marTop w:val="0"/>
      <w:marBottom w:val="0"/>
      <w:divBdr>
        <w:top w:val="none" w:sz="0" w:space="0" w:color="auto"/>
        <w:left w:val="none" w:sz="0" w:space="0" w:color="auto"/>
        <w:bottom w:val="none" w:sz="0" w:space="0" w:color="auto"/>
        <w:right w:val="none" w:sz="0" w:space="0" w:color="auto"/>
      </w:divBdr>
    </w:div>
    <w:div w:id="1601836896">
      <w:bodyDiv w:val="1"/>
      <w:marLeft w:val="0"/>
      <w:marRight w:val="0"/>
      <w:marTop w:val="0"/>
      <w:marBottom w:val="0"/>
      <w:divBdr>
        <w:top w:val="none" w:sz="0" w:space="0" w:color="auto"/>
        <w:left w:val="none" w:sz="0" w:space="0" w:color="auto"/>
        <w:bottom w:val="none" w:sz="0" w:space="0" w:color="auto"/>
        <w:right w:val="none" w:sz="0" w:space="0" w:color="auto"/>
      </w:divBdr>
    </w:div>
    <w:div w:id="1608350662">
      <w:bodyDiv w:val="1"/>
      <w:marLeft w:val="0"/>
      <w:marRight w:val="0"/>
      <w:marTop w:val="0"/>
      <w:marBottom w:val="0"/>
      <w:divBdr>
        <w:top w:val="none" w:sz="0" w:space="0" w:color="auto"/>
        <w:left w:val="none" w:sz="0" w:space="0" w:color="auto"/>
        <w:bottom w:val="none" w:sz="0" w:space="0" w:color="auto"/>
        <w:right w:val="none" w:sz="0" w:space="0" w:color="auto"/>
      </w:divBdr>
    </w:div>
    <w:div w:id="1619675609">
      <w:bodyDiv w:val="1"/>
      <w:marLeft w:val="0"/>
      <w:marRight w:val="0"/>
      <w:marTop w:val="0"/>
      <w:marBottom w:val="0"/>
      <w:divBdr>
        <w:top w:val="none" w:sz="0" w:space="0" w:color="auto"/>
        <w:left w:val="none" w:sz="0" w:space="0" w:color="auto"/>
        <w:bottom w:val="none" w:sz="0" w:space="0" w:color="auto"/>
        <w:right w:val="none" w:sz="0" w:space="0" w:color="auto"/>
      </w:divBdr>
    </w:div>
    <w:div w:id="1622959524">
      <w:bodyDiv w:val="1"/>
      <w:marLeft w:val="0"/>
      <w:marRight w:val="0"/>
      <w:marTop w:val="0"/>
      <w:marBottom w:val="0"/>
      <w:divBdr>
        <w:top w:val="none" w:sz="0" w:space="0" w:color="auto"/>
        <w:left w:val="none" w:sz="0" w:space="0" w:color="auto"/>
        <w:bottom w:val="none" w:sz="0" w:space="0" w:color="auto"/>
        <w:right w:val="none" w:sz="0" w:space="0" w:color="auto"/>
      </w:divBdr>
    </w:div>
    <w:div w:id="1630012481">
      <w:bodyDiv w:val="1"/>
      <w:marLeft w:val="0"/>
      <w:marRight w:val="0"/>
      <w:marTop w:val="0"/>
      <w:marBottom w:val="0"/>
      <w:divBdr>
        <w:top w:val="none" w:sz="0" w:space="0" w:color="auto"/>
        <w:left w:val="none" w:sz="0" w:space="0" w:color="auto"/>
        <w:bottom w:val="none" w:sz="0" w:space="0" w:color="auto"/>
        <w:right w:val="none" w:sz="0" w:space="0" w:color="auto"/>
      </w:divBdr>
    </w:div>
    <w:div w:id="1632785272">
      <w:bodyDiv w:val="1"/>
      <w:marLeft w:val="0"/>
      <w:marRight w:val="0"/>
      <w:marTop w:val="0"/>
      <w:marBottom w:val="0"/>
      <w:divBdr>
        <w:top w:val="none" w:sz="0" w:space="0" w:color="auto"/>
        <w:left w:val="none" w:sz="0" w:space="0" w:color="auto"/>
        <w:bottom w:val="none" w:sz="0" w:space="0" w:color="auto"/>
        <w:right w:val="none" w:sz="0" w:space="0" w:color="auto"/>
      </w:divBdr>
    </w:div>
    <w:div w:id="1640183366">
      <w:bodyDiv w:val="1"/>
      <w:marLeft w:val="0"/>
      <w:marRight w:val="0"/>
      <w:marTop w:val="0"/>
      <w:marBottom w:val="0"/>
      <w:divBdr>
        <w:top w:val="none" w:sz="0" w:space="0" w:color="auto"/>
        <w:left w:val="none" w:sz="0" w:space="0" w:color="auto"/>
        <w:bottom w:val="none" w:sz="0" w:space="0" w:color="auto"/>
        <w:right w:val="none" w:sz="0" w:space="0" w:color="auto"/>
      </w:divBdr>
    </w:div>
    <w:div w:id="1685982834">
      <w:bodyDiv w:val="1"/>
      <w:marLeft w:val="0"/>
      <w:marRight w:val="0"/>
      <w:marTop w:val="0"/>
      <w:marBottom w:val="0"/>
      <w:divBdr>
        <w:top w:val="none" w:sz="0" w:space="0" w:color="auto"/>
        <w:left w:val="none" w:sz="0" w:space="0" w:color="auto"/>
        <w:bottom w:val="none" w:sz="0" w:space="0" w:color="auto"/>
        <w:right w:val="none" w:sz="0" w:space="0" w:color="auto"/>
      </w:divBdr>
    </w:div>
    <w:div w:id="1714114332">
      <w:bodyDiv w:val="1"/>
      <w:marLeft w:val="0"/>
      <w:marRight w:val="0"/>
      <w:marTop w:val="0"/>
      <w:marBottom w:val="0"/>
      <w:divBdr>
        <w:top w:val="none" w:sz="0" w:space="0" w:color="auto"/>
        <w:left w:val="none" w:sz="0" w:space="0" w:color="auto"/>
        <w:bottom w:val="none" w:sz="0" w:space="0" w:color="auto"/>
        <w:right w:val="none" w:sz="0" w:space="0" w:color="auto"/>
      </w:divBdr>
    </w:div>
    <w:div w:id="1724451637">
      <w:bodyDiv w:val="1"/>
      <w:marLeft w:val="0"/>
      <w:marRight w:val="0"/>
      <w:marTop w:val="0"/>
      <w:marBottom w:val="0"/>
      <w:divBdr>
        <w:top w:val="none" w:sz="0" w:space="0" w:color="auto"/>
        <w:left w:val="none" w:sz="0" w:space="0" w:color="auto"/>
        <w:bottom w:val="none" w:sz="0" w:space="0" w:color="auto"/>
        <w:right w:val="none" w:sz="0" w:space="0" w:color="auto"/>
      </w:divBdr>
    </w:div>
    <w:div w:id="1731463276">
      <w:bodyDiv w:val="1"/>
      <w:marLeft w:val="0"/>
      <w:marRight w:val="0"/>
      <w:marTop w:val="0"/>
      <w:marBottom w:val="0"/>
      <w:divBdr>
        <w:top w:val="none" w:sz="0" w:space="0" w:color="auto"/>
        <w:left w:val="none" w:sz="0" w:space="0" w:color="auto"/>
        <w:bottom w:val="none" w:sz="0" w:space="0" w:color="auto"/>
        <w:right w:val="none" w:sz="0" w:space="0" w:color="auto"/>
      </w:divBdr>
    </w:div>
    <w:div w:id="1800687260">
      <w:bodyDiv w:val="1"/>
      <w:marLeft w:val="0"/>
      <w:marRight w:val="0"/>
      <w:marTop w:val="0"/>
      <w:marBottom w:val="0"/>
      <w:divBdr>
        <w:top w:val="none" w:sz="0" w:space="0" w:color="auto"/>
        <w:left w:val="none" w:sz="0" w:space="0" w:color="auto"/>
        <w:bottom w:val="none" w:sz="0" w:space="0" w:color="auto"/>
        <w:right w:val="none" w:sz="0" w:space="0" w:color="auto"/>
      </w:divBdr>
    </w:div>
    <w:div w:id="1803186525">
      <w:bodyDiv w:val="1"/>
      <w:marLeft w:val="0"/>
      <w:marRight w:val="0"/>
      <w:marTop w:val="0"/>
      <w:marBottom w:val="0"/>
      <w:divBdr>
        <w:top w:val="none" w:sz="0" w:space="0" w:color="auto"/>
        <w:left w:val="none" w:sz="0" w:space="0" w:color="auto"/>
        <w:bottom w:val="none" w:sz="0" w:space="0" w:color="auto"/>
        <w:right w:val="none" w:sz="0" w:space="0" w:color="auto"/>
      </w:divBdr>
    </w:div>
    <w:div w:id="1842964458">
      <w:bodyDiv w:val="1"/>
      <w:marLeft w:val="0"/>
      <w:marRight w:val="0"/>
      <w:marTop w:val="0"/>
      <w:marBottom w:val="0"/>
      <w:divBdr>
        <w:top w:val="none" w:sz="0" w:space="0" w:color="auto"/>
        <w:left w:val="none" w:sz="0" w:space="0" w:color="auto"/>
        <w:bottom w:val="none" w:sz="0" w:space="0" w:color="auto"/>
        <w:right w:val="none" w:sz="0" w:space="0" w:color="auto"/>
      </w:divBdr>
    </w:div>
    <w:div w:id="1854101529">
      <w:bodyDiv w:val="1"/>
      <w:marLeft w:val="0"/>
      <w:marRight w:val="0"/>
      <w:marTop w:val="0"/>
      <w:marBottom w:val="0"/>
      <w:divBdr>
        <w:top w:val="none" w:sz="0" w:space="0" w:color="auto"/>
        <w:left w:val="none" w:sz="0" w:space="0" w:color="auto"/>
        <w:bottom w:val="none" w:sz="0" w:space="0" w:color="auto"/>
        <w:right w:val="none" w:sz="0" w:space="0" w:color="auto"/>
      </w:divBdr>
    </w:div>
    <w:div w:id="1887133358">
      <w:bodyDiv w:val="1"/>
      <w:marLeft w:val="0"/>
      <w:marRight w:val="0"/>
      <w:marTop w:val="0"/>
      <w:marBottom w:val="0"/>
      <w:divBdr>
        <w:top w:val="none" w:sz="0" w:space="0" w:color="auto"/>
        <w:left w:val="none" w:sz="0" w:space="0" w:color="auto"/>
        <w:bottom w:val="none" w:sz="0" w:space="0" w:color="auto"/>
        <w:right w:val="none" w:sz="0" w:space="0" w:color="auto"/>
      </w:divBdr>
    </w:div>
    <w:div w:id="1917662736">
      <w:bodyDiv w:val="1"/>
      <w:marLeft w:val="0"/>
      <w:marRight w:val="0"/>
      <w:marTop w:val="0"/>
      <w:marBottom w:val="0"/>
      <w:divBdr>
        <w:top w:val="none" w:sz="0" w:space="0" w:color="auto"/>
        <w:left w:val="none" w:sz="0" w:space="0" w:color="auto"/>
        <w:bottom w:val="none" w:sz="0" w:space="0" w:color="auto"/>
        <w:right w:val="none" w:sz="0" w:space="0" w:color="auto"/>
      </w:divBdr>
    </w:div>
    <w:div w:id="1921402452">
      <w:bodyDiv w:val="1"/>
      <w:marLeft w:val="0"/>
      <w:marRight w:val="0"/>
      <w:marTop w:val="0"/>
      <w:marBottom w:val="0"/>
      <w:divBdr>
        <w:top w:val="none" w:sz="0" w:space="0" w:color="auto"/>
        <w:left w:val="none" w:sz="0" w:space="0" w:color="auto"/>
        <w:bottom w:val="none" w:sz="0" w:space="0" w:color="auto"/>
        <w:right w:val="none" w:sz="0" w:space="0" w:color="auto"/>
      </w:divBdr>
    </w:div>
    <w:div w:id="1951887676">
      <w:bodyDiv w:val="1"/>
      <w:marLeft w:val="0"/>
      <w:marRight w:val="0"/>
      <w:marTop w:val="0"/>
      <w:marBottom w:val="0"/>
      <w:divBdr>
        <w:top w:val="none" w:sz="0" w:space="0" w:color="auto"/>
        <w:left w:val="none" w:sz="0" w:space="0" w:color="auto"/>
        <w:bottom w:val="none" w:sz="0" w:space="0" w:color="auto"/>
        <w:right w:val="none" w:sz="0" w:space="0" w:color="auto"/>
      </w:divBdr>
    </w:div>
    <w:div w:id="1953055013">
      <w:bodyDiv w:val="1"/>
      <w:marLeft w:val="0"/>
      <w:marRight w:val="0"/>
      <w:marTop w:val="0"/>
      <w:marBottom w:val="0"/>
      <w:divBdr>
        <w:top w:val="none" w:sz="0" w:space="0" w:color="auto"/>
        <w:left w:val="none" w:sz="0" w:space="0" w:color="auto"/>
        <w:bottom w:val="none" w:sz="0" w:space="0" w:color="auto"/>
        <w:right w:val="none" w:sz="0" w:space="0" w:color="auto"/>
      </w:divBdr>
    </w:div>
    <w:div w:id="1973553926">
      <w:bodyDiv w:val="1"/>
      <w:marLeft w:val="0"/>
      <w:marRight w:val="0"/>
      <w:marTop w:val="0"/>
      <w:marBottom w:val="0"/>
      <w:divBdr>
        <w:top w:val="none" w:sz="0" w:space="0" w:color="auto"/>
        <w:left w:val="none" w:sz="0" w:space="0" w:color="auto"/>
        <w:bottom w:val="none" w:sz="0" w:space="0" w:color="auto"/>
        <w:right w:val="none" w:sz="0" w:space="0" w:color="auto"/>
      </w:divBdr>
    </w:div>
    <w:div w:id="1986662240">
      <w:bodyDiv w:val="1"/>
      <w:marLeft w:val="0"/>
      <w:marRight w:val="0"/>
      <w:marTop w:val="0"/>
      <w:marBottom w:val="0"/>
      <w:divBdr>
        <w:top w:val="none" w:sz="0" w:space="0" w:color="auto"/>
        <w:left w:val="none" w:sz="0" w:space="0" w:color="auto"/>
        <w:bottom w:val="none" w:sz="0" w:space="0" w:color="auto"/>
        <w:right w:val="none" w:sz="0" w:space="0" w:color="auto"/>
      </w:divBdr>
    </w:div>
    <w:div w:id="2006977734">
      <w:bodyDiv w:val="1"/>
      <w:marLeft w:val="0"/>
      <w:marRight w:val="0"/>
      <w:marTop w:val="0"/>
      <w:marBottom w:val="0"/>
      <w:divBdr>
        <w:top w:val="none" w:sz="0" w:space="0" w:color="auto"/>
        <w:left w:val="none" w:sz="0" w:space="0" w:color="auto"/>
        <w:bottom w:val="none" w:sz="0" w:space="0" w:color="auto"/>
        <w:right w:val="none" w:sz="0" w:space="0" w:color="auto"/>
      </w:divBdr>
    </w:div>
    <w:div w:id="2038505999">
      <w:bodyDiv w:val="1"/>
      <w:marLeft w:val="0"/>
      <w:marRight w:val="0"/>
      <w:marTop w:val="0"/>
      <w:marBottom w:val="0"/>
      <w:divBdr>
        <w:top w:val="none" w:sz="0" w:space="0" w:color="auto"/>
        <w:left w:val="none" w:sz="0" w:space="0" w:color="auto"/>
        <w:bottom w:val="none" w:sz="0" w:space="0" w:color="auto"/>
        <w:right w:val="none" w:sz="0" w:space="0" w:color="auto"/>
      </w:divBdr>
    </w:div>
    <w:div w:id="2110809095">
      <w:bodyDiv w:val="1"/>
      <w:marLeft w:val="0"/>
      <w:marRight w:val="0"/>
      <w:marTop w:val="0"/>
      <w:marBottom w:val="0"/>
      <w:divBdr>
        <w:top w:val="none" w:sz="0" w:space="0" w:color="auto"/>
        <w:left w:val="none" w:sz="0" w:space="0" w:color="auto"/>
        <w:bottom w:val="none" w:sz="0" w:space="0" w:color="auto"/>
        <w:right w:val="none" w:sz="0" w:space="0" w:color="auto"/>
      </w:divBdr>
    </w:div>
    <w:div w:id="21324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gc.ca/en/legal-policy/policies/Pages/GuideDir04.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rb.gc.ca/en/legal-policy/policies/Pages/PolNonUnsol.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rb.gc.ca/en/legal-policy/policies/Pages/GuideDir0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97DF-1776-314E-BE00-C7314178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5528</Words>
  <Characters>31514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Syyong</dc:creator>
  <cp:keywords/>
  <dc:description/>
  <cp:lastModifiedBy>Leah Cummings</cp:lastModifiedBy>
  <cp:revision>2</cp:revision>
  <cp:lastPrinted>2023-02-17T16:00:00Z</cp:lastPrinted>
  <dcterms:created xsi:type="dcterms:W3CDTF">2023-02-17T23:02:00Z</dcterms:created>
  <dcterms:modified xsi:type="dcterms:W3CDTF">2023-02-17T23:02:00Z</dcterms:modified>
</cp:coreProperties>
</file>