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C0E6" w14:textId="77777777" w:rsidR="00F43D9C" w:rsidRPr="00BC7F2E" w:rsidRDefault="00F43D9C" w:rsidP="00D54AE0">
      <w:pPr>
        <w:spacing w:line="480" w:lineRule="auto"/>
        <w:jc w:val="center"/>
        <w:rPr>
          <w:rFonts w:asciiTheme="majorBidi" w:hAnsiTheme="majorBidi" w:cstheme="majorBidi"/>
          <w:b/>
          <w:color w:val="222222"/>
        </w:rPr>
      </w:pPr>
      <w:r w:rsidRPr="00BC7F2E">
        <w:rPr>
          <w:rFonts w:asciiTheme="majorBidi" w:hAnsiTheme="majorBidi" w:cstheme="majorBidi"/>
          <w:b/>
          <w:color w:val="222222"/>
        </w:rPr>
        <w:t>CROWN COURT OF CANADA</w:t>
      </w:r>
    </w:p>
    <w:p w14:paraId="6ED3D958" w14:textId="77777777" w:rsidR="00F43D9C" w:rsidRPr="00BC7F2E" w:rsidRDefault="00F43D9C" w:rsidP="00D54AE0">
      <w:pPr>
        <w:spacing w:line="480" w:lineRule="auto"/>
        <w:jc w:val="center"/>
        <w:rPr>
          <w:rFonts w:asciiTheme="majorBidi" w:hAnsiTheme="majorBidi" w:cstheme="majorBidi"/>
          <w:b/>
          <w:color w:val="222222"/>
        </w:rPr>
      </w:pPr>
    </w:p>
    <w:p w14:paraId="50460219" w14:textId="77777777" w:rsidR="00F43D9C" w:rsidRPr="00BC7F2E" w:rsidRDefault="00F43D9C" w:rsidP="00D54AE0">
      <w:pPr>
        <w:spacing w:line="480" w:lineRule="auto"/>
        <w:rPr>
          <w:rFonts w:asciiTheme="majorBidi" w:hAnsiTheme="majorBidi" w:cstheme="majorBidi"/>
          <w:b/>
          <w:color w:val="222222"/>
        </w:rPr>
      </w:pPr>
      <w:r w:rsidRPr="00BC7F2E">
        <w:rPr>
          <w:rFonts w:asciiTheme="majorBidi" w:hAnsiTheme="majorBidi" w:cstheme="majorBidi"/>
          <w:b/>
          <w:color w:val="222222"/>
        </w:rPr>
        <w:t>BETWEEN:</w:t>
      </w:r>
    </w:p>
    <w:p w14:paraId="28CB601C" w14:textId="77777777" w:rsidR="00F43D9C" w:rsidRPr="00BC7F2E" w:rsidRDefault="00F43D9C" w:rsidP="00D54AE0">
      <w:pPr>
        <w:spacing w:line="480" w:lineRule="auto"/>
        <w:rPr>
          <w:rFonts w:asciiTheme="majorBidi" w:hAnsiTheme="majorBidi" w:cstheme="majorBidi"/>
          <w:b/>
          <w:color w:val="222222"/>
        </w:rPr>
      </w:pPr>
    </w:p>
    <w:p w14:paraId="1D32E2A6" w14:textId="77777777" w:rsidR="00F43D9C" w:rsidRPr="00BC7F2E" w:rsidRDefault="00F43D9C" w:rsidP="00D54AE0">
      <w:pPr>
        <w:spacing w:line="480" w:lineRule="auto"/>
        <w:jc w:val="center"/>
        <w:rPr>
          <w:rFonts w:asciiTheme="majorBidi" w:hAnsiTheme="majorBidi" w:cstheme="majorBidi"/>
          <w:b/>
          <w:color w:val="222222"/>
        </w:rPr>
      </w:pPr>
      <w:r w:rsidRPr="00BC7F2E">
        <w:rPr>
          <w:rFonts w:asciiTheme="majorBidi" w:hAnsiTheme="majorBidi" w:cstheme="majorBidi"/>
          <w:b/>
          <w:color w:val="222222"/>
        </w:rPr>
        <w:t>THE MINISTER OF CITIZENSHIP AND IMMIGRATION</w:t>
      </w:r>
    </w:p>
    <w:p w14:paraId="442DB0ED" w14:textId="77777777" w:rsidR="00F43D9C" w:rsidRPr="00BC7F2E" w:rsidRDefault="00F43D9C" w:rsidP="00D54AE0">
      <w:pPr>
        <w:spacing w:line="480" w:lineRule="auto"/>
        <w:jc w:val="center"/>
        <w:rPr>
          <w:rFonts w:asciiTheme="majorBidi" w:hAnsiTheme="majorBidi" w:cstheme="majorBidi"/>
          <w:b/>
          <w:color w:val="222222"/>
        </w:rPr>
      </w:pPr>
    </w:p>
    <w:p w14:paraId="27E95DE6" w14:textId="77777777" w:rsidR="00F43D9C" w:rsidRPr="00BC7F2E" w:rsidRDefault="00F43D9C" w:rsidP="00D54AE0">
      <w:pPr>
        <w:spacing w:line="480" w:lineRule="auto"/>
        <w:jc w:val="right"/>
        <w:rPr>
          <w:rFonts w:asciiTheme="majorBidi" w:hAnsiTheme="majorBidi" w:cstheme="majorBidi"/>
          <w:b/>
          <w:color w:val="222222"/>
        </w:rPr>
      </w:pPr>
      <w:r w:rsidRPr="00BC7F2E">
        <w:rPr>
          <w:rFonts w:asciiTheme="majorBidi" w:hAnsiTheme="majorBidi" w:cstheme="majorBidi"/>
          <w:b/>
          <w:color w:val="222222"/>
        </w:rPr>
        <w:t>Appellant</w:t>
      </w:r>
    </w:p>
    <w:p w14:paraId="3EC40650" w14:textId="77777777" w:rsidR="00F43D9C" w:rsidRPr="00BC7F2E" w:rsidRDefault="00F43D9C" w:rsidP="00D54AE0">
      <w:pPr>
        <w:spacing w:line="480" w:lineRule="auto"/>
        <w:jc w:val="right"/>
        <w:rPr>
          <w:rFonts w:asciiTheme="majorBidi" w:hAnsiTheme="majorBidi" w:cstheme="majorBidi"/>
          <w:b/>
          <w:color w:val="222222"/>
        </w:rPr>
      </w:pPr>
    </w:p>
    <w:p w14:paraId="01330907" w14:textId="77777777" w:rsidR="00F43D9C" w:rsidRPr="00BC7F2E" w:rsidRDefault="00F43D9C" w:rsidP="00D54AE0">
      <w:pPr>
        <w:spacing w:line="480" w:lineRule="auto"/>
        <w:rPr>
          <w:rFonts w:asciiTheme="majorBidi" w:hAnsiTheme="majorBidi" w:cstheme="majorBidi"/>
          <w:b/>
          <w:color w:val="222222"/>
        </w:rPr>
      </w:pPr>
      <w:r w:rsidRPr="00BC7F2E">
        <w:rPr>
          <w:rFonts w:asciiTheme="majorBidi" w:hAnsiTheme="majorBidi" w:cstheme="majorBidi"/>
          <w:b/>
          <w:color w:val="222222"/>
        </w:rPr>
        <w:t>AND:</w:t>
      </w:r>
    </w:p>
    <w:p w14:paraId="1DEDFC7B" w14:textId="77777777" w:rsidR="00F43D9C" w:rsidRPr="00BC7F2E" w:rsidRDefault="00F43D9C" w:rsidP="00D54AE0">
      <w:pPr>
        <w:spacing w:line="480" w:lineRule="auto"/>
        <w:rPr>
          <w:rFonts w:asciiTheme="majorBidi" w:hAnsiTheme="majorBidi" w:cstheme="majorBidi"/>
          <w:b/>
          <w:color w:val="222222"/>
        </w:rPr>
      </w:pPr>
    </w:p>
    <w:p w14:paraId="4DFBB13B" w14:textId="77777777" w:rsidR="00F43D9C" w:rsidRPr="00BC7F2E" w:rsidRDefault="00F43D9C" w:rsidP="00D54AE0">
      <w:pPr>
        <w:spacing w:line="480" w:lineRule="auto"/>
        <w:jc w:val="center"/>
        <w:rPr>
          <w:rFonts w:asciiTheme="majorBidi" w:hAnsiTheme="majorBidi" w:cstheme="majorBidi"/>
          <w:b/>
          <w:color w:val="222222"/>
        </w:rPr>
      </w:pPr>
      <w:r w:rsidRPr="00BC7F2E">
        <w:rPr>
          <w:rFonts w:asciiTheme="majorBidi" w:hAnsiTheme="majorBidi" w:cstheme="majorBidi"/>
          <w:b/>
          <w:color w:val="222222"/>
        </w:rPr>
        <w:t>M.D. Janna N. CHOWDHURY</w:t>
      </w:r>
    </w:p>
    <w:p w14:paraId="4BCB12C4" w14:textId="77777777" w:rsidR="00F43D9C" w:rsidRPr="00BC7F2E" w:rsidRDefault="00F43D9C" w:rsidP="00D54AE0">
      <w:pPr>
        <w:spacing w:line="480" w:lineRule="auto"/>
        <w:jc w:val="center"/>
        <w:rPr>
          <w:rFonts w:asciiTheme="majorBidi" w:hAnsiTheme="majorBidi" w:cstheme="majorBidi"/>
          <w:b/>
          <w:color w:val="222222"/>
        </w:rPr>
      </w:pPr>
    </w:p>
    <w:p w14:paraId="489BC1C5" w14:textId="77777777" w:rsidR="00F43D9C" w:rsidRPr="00BC7F2E" w:rsidRDefault="00F43D9C" w:rsidP="00D54AE0">
      <w:pPr>
        <w:spacing w:line="480" w:lineRule="auto"/>
        <w:jc w:val="right"/>
        <w:rPr>
          <w:rFonts w:asciiTheme="majorBidi" w:hAnsiTheme="majorBidi" w:cstheme="majorBidi"/>
          <w:b/>
          <w:color w:val="222222"/>
        </w:rPr>
      </w:pPr>
      <w:r w:rsidRPr="00BC7F2E">
        <w:rPr>
          <w:rFonts w:asciiTheme="majorBidi" w:hAnsiTheme="majorBidi" w:cstheme="majorBidi"/>
          <w:b/>
          <w:color w:val="222222"/>
        </w:rPr>
        <w:t>Respondent</w:t>
      </w:r>
    </w:p>
    <w:p w14:paraId="1A6570DE" w14:textId="77777777" w:rsidR="00F43D9C" w:rsidRPr="00BC7F2E" w:rsidRDefault="00F43D9C" w:rsidP="00D54AE0">
      <w:pPr>
        <w:spacing w:line="480" w:lineRule="auto"/>
        <w:jc w:val="right"/>
        <w:rPr>
          <w:rFonts w:asciiTheme="majorBidi" w:hAnsiTheme="majorBidi" w:cstheme="majorBidi"/>
          <w:b/>
          <w:color w:val="222222"/>
        </w:rPr>
      </w:pPr>
    </w:p>
    <w:p w14:paraId="40A7C75F" w14:textId="77777777" w:rsidR="00F43D9C" w:rsidRPr="00BC7F2E" w:rsidRDefault="00F43D9C" w:rsidP="00D54AE0">
      <w:pPr>
        <w:spacing w:line="480" w:lineRule="auto"/>
        <w:jc w:val="center"/>
        <w:rPr>
          <w:rFonts w:asciiTheme="majorBidi" w:hAnsiTheme="majorBidi" w:cstheme="majorBidi"/>
          <w:b/>
          <w:color w:val="222222"/>
        </w:rPr>
      </w:pPr>
    </w:p>
    <w:p w14:paraId="7F984F5D" w14:textId="77777777" w:rsidR="00F43D9C" w:rsidRPr="00BC7F2E" w:rsidRDefault="00F43D9C" w:rsidP="00D54AE0">
      <w:pPr>
        <w:spacing w:line="480" w:lineRule="auto"/>
        <w:jc w:val="center"/>
        <w:rPr>
          <w:rFonts w:asciiTheme="majorBidi" w:hAnsiTheme="majorBidi" w:cstheme="majorBidi"/>
          <w:b/>
          <w:color w:val="222222"/>
        </w:rPr>
      </w:pPr>
    </w:p>
    <w:p w14:paraId="1129AA69" w14:textId="0AFDFC87" w:rsidR="00F43D9C" w:rsidRPr="00922877" w:rsidRDefault="00F43D9C" w:rsidP="00D54AE0">
      <w:pPr>
        <w:spacing w:line="480" w:lineRule="auto"/>
        <w:jc w:val="center"/>
        <w:rPr>
          <w:rFonts w:asciiTheme="majorBidi" w:hAnsiTheme="majorBidi" w:cstheme="majorBidi"/>
        </w:rPr>
      </w:pPr>
      <w:r>
        <w:rPr>
          <w:rFonts w:asciiTheme="majorBidi" w:hAnsiTheme="majorBidi" w:cstheme="majorBidi"/>
          <w:b/>
          <w:color w:val="222222"/>
        </w:rPr>
        <w:t>RESPONDENT</w:t>
      </w:r>
      <w:r w:rsidRPr="00BC7F2E">
        <w:rPr>
          <w:rFonts w:asciiTheme="majorBidi" w:hAnsiTheme="majorBidi" w:cstheme="majorBidi"/>
          <w:b/>
          <w:color w:val="222222"/>
        </w:rPr>
        <w:t>’S MEMORANDUM OF ARGUMENT</w:t>
      </w:r>
    </w:p>
    <w:p w14:paraId="067B28EF" w14:textId="77777777" w:rsidR="00F43D9C" w:rsidRDefault="00F43D9C" w:rsidP="00D54AE0">
      <w:pPr>
        <w:spacing w:line="480" w:lineRule="auto"/>
        <w:rPr>
          <w:rFonts w:asciiTheme="majorBidi" w:hAnsiTheme="majorBidi" w:cstheme="majorBidi"/>
          <w:b/>
          <w:color w:val="222222"/>
          <w:u w:val="single"/>
        </w:rPr>
      </w:pPr>
    </w:p>
    <w:p w14:paraId="3DDE0170" w14:textId="77777777" w:rsidR="00F43D9C" w:rsidRDefault="00F43D9C" w:rsidP="00D54AE0">
      <w:pPr>
        <w:spacing w:line="480" w:lineRule="auto"/>
        <w:rPr>
          <w:rFonts w:asciiTheme="majorBidi" w:hAnsiTheme="majorBidi" w:cstheme="majorBidi"/>
          <w:bCs/>
          <w:color w:val="222222"/>
        </w:rPr>
      </w:pPr>
    </w:p>
    <w:p w14:paraId="08E9EA67" w14:textId="6F6601E0" w:rsidR="00F43D9C" w:rsidRDefault="007D2102" w:rsidP="00D54AE0">
      <w:pPr>
        <w:spacing w:line="480" w:lineRule="auto"/>
        <w:jc w:val="center"/>
        <w:rPr>
          <w:rFonts w:asciiTheme="majorBidi" w:hAnsiTheme="majorBidi" w:cstheme="majorBidi"/>
          <w:bCs/>
          <w:color w:val="222222"/>
        </w:rPr>
      </w:pPr>
      <w:r>
        <w:rPr>
          <w:rFonts w:asciiTheme="majorBidi" w:hAnsiTheme="majorBidi" w:cstheme="majorBidi"/>
          <w:bCs/>
          <w:color w:val="222222"/>
        </w:rPr>
        <w:t>2</w:t>
      </w:r>
      <w:r w:rsidR="00F43D9C" w:rsidRPr="00922877">
        <w:rPr>
          <w:rFonts w:asciiTheme="majorBidi" w:hAnsiTheme="majorBidi" w:cstheme="majorBidi"/>
          <w:bCs/>
          <w:color w:val="222222"/>
        </w:rPr>
        <w:t>10</w:t>
      </w:r>
    </w:p>
    <w:p w14:paraId="10D21430" w14:textId="3856E39D" w:rsidR="00F43D9C" w:rsidRPr="003F7F5F" w:rsidRDefault="00F43D9C" w:rsidP="00D54AE0">
      <w:pPr>
        <w:spacing w:line="480" w:lineRule="auto"/>
        <w:jc w:val="center"/>
        <w:rPr>
          <w:rFonts w:asciiTheme="majorBidi" w:hAnsiTheme="majorBidi" w:cstheme="majorBidi"/>
          <w:bCs/>
          <w:color w:val="222222"/>
        </w:rPr>
      </w:pPr>
      <w:r w:rsidRPr="003F7F5F">
        <w:rPr>
          <w:rFonts w:asciiTheme="majorBidi" w:hAnsiTheme="majorBidi" w:cstheme="majorBidi"/>
          <w:bCs/>
          <w:color w:val="222222"/>
        </w:rPr>
        <w:t xml:space="preserve">Counsel for the </w:t>
      </w:r>
      <w:r w:rsidR="00CD3499">
        <w:rPr>
          <w:rFonts w:asciiTheme="majorBidi" w:hAnsiTheme="majorBidi" w:cstheme="majorBidi"/>
          <w:bCs/>
          <w:color w:val="222222"/>
        </w:rPr>
        <w:t>Respondent</w:t>
      </w:r>
    </w:p>
    <w:p w14:paraId="1B5165A0" w14:textId="77777777" w:rsidR="00A96FD1" w:rsidRPr="00A96FD1" w:rsidRDefault="00A96FD1" w:rsidP="00A96FD1">
      <w:pPr>
        <w:jc w:val="center"/>
        <w:rPr>
          <w:b/>
          <w:bCs/>
          <w:color w:val="222222"/>
        </w:rPr>
      </w:pPr>
    </w:p>
    <w:p w14:paraId="1CB479BA" w14:textId="77777777" w:rsidR="00A96FD1" w:rsidRPr="00A96FD1" w:rsidRDefault="00A96FD1" w:rsidP="00A96FD1">
      <w:pPr>
        <w:jc w:val="center"/>
        <w:rPr>
          <w:b/>
          <w:bCs/>
          <w:color w:val="222222"/>
        </w:rPr>
      </w:pPr>
    </w:p>
    <w:p w14:paraId="52AE9CCD" w14:textId="77777777" w:rsidR="00A96FD1" w:rsidRPr="00A96FD1" w:rsidRDefault="00A96FD1" w:rsidP="00A96FD1">
      <w:pPr>
        <w:rPr>
          <w:b/>
          <w:bCs/>
          <w:color w:val="222222"/>
        </w:rPr>
      </w:pPr>
    </w:p>
    <w:p w14:paraId="005E8282" w14:textId="4D4AF6DA" w:rsidR="00C83C6D" w:rsidRDefault="00A96FD1" w:rsidP="00F12612">
      <w:pPr>
        <w:spacing w:line="480" w:lineRule="auto"/>
        <w:jc w:val="center"/>
        <w:rPr>
          <w:b/>
          <w:bCs/>
        </w:rPr>
      </w:pPr>
      <w:r w:rsidRPr="00A96FD1">
        <w:rPr>
          <w:b/>
          <w:bCs/>
          <w:color w:val="222222"/>
          <w:u w:val="single"/>
        </w:rPr>
        <w:br w:type="page"/>
      </w:r>
      <w:r w:rsidR="00396721" w:rsidRPr="001B6B97">
        <w:rPr>
          <w:b/>
          <w:bCs/>
        </w:rPr>
        <w:lastRenderedPageBreak/>
        <w:t xml:space="preserve"> </w:t>
      </w:r>
      <w:r w:rsidR="00C83C6D">
        <w:rPr>
          <w:b/>
          <w:bCs/>
        </w:rPr>
        <w:t>OVERVIEW</w:t>
      </w:r>
    </w:p>
    <w:p w14:paraId="3A091396" w14:textId="7258173B" w:rsidR="003A2D4C" w:rsidRDefault="008730B4" w:rsidP="00FE6559">
      <w:pPr>
        <w:pStyle w:val="ListParagraph"/>
        <w:numPr>
          <w:ilvl w:val="0"/>
          <w:numId w:val="1"/>
        </w:numPr>
        <w:spacing w:line="480" w:lineRule="auto"/>
        <w:ind w:left="0" w:firstLine="0"/>
        <w:jc w:val="both"/>
        <w:rPr>
          <w:lang w:eastAsia="en-US"/>
        </w:rPr>
      </w:pPr>
      <w:r>
        <w:rPr>
          <w:lang w:eastAsia="en-US"/>
        </w:rPr>
        <w:t xml:space="preserve">A protest to ensure democratic rights cannot constitute subversion by force. </w:t>
      </w:r>
      <w:r w:rsidR="003A2D4C">
        <w:rPr>
          <w:lang w:eastAsia="en-US"/>
        </w:rPr>
        <w:t xml:space="preserve">This case is an appeal of a Federal Court decision </w:t>
      </w:r>
      <w:r w:rsidR="00964B30">
        <w:rPr>
          <w:lang w:eastAsia="en-US"/>
        </w:rPr>
        <w:t>setting aside the negative determination of</w:t>
      </w:r>
      <w:r w:rsidR="003A2D4C">
        <w:rPr>
          <w:lang w:eastAsia="en-US"/>
        </w:rPr>
        <w:t xml:space="preserve"> an </w:t>
      </w:r>
      <w:r w:rsidR="003A2D4C" w:rsidRPr="00F91166">
        <w:rPr>
          <w:lang w:eastAsia="en-US"/>
        </w:rPr>
        <w:t>Immigration</w:t>
      </w:r>
      <w:r w:rsidR="005A65B5">
        <w:rPr>
          <w:lang w:eastAsia="en-US"/>
        </w:rPr>
        <w:t xml:space="preserve"> </w:t>
      </w:r>
      <w:r w:rsidR="007D2102">
        <w:rPr>
          <w:lang w:eastAsia="en-US"/>
        </w:rPr>
        <w:t xml:space="preserve">Officer </w:t>
      </w:r>
      <w:r w:rsidR="003A2D4C">
        <w:rPr>
          <w:lang w:eastAsia="en-US"/>
        </w:rPr>
        <w:t>on the Respondent Mr. Chowdhury’s permanent resident application. Justice Jag</w:t>
      </w:r>
      <w:r w:rsidR="00132337">
        <w:rPr>
          <w:lang w:eastAsia="en-US"/>
        </w:rPr>
        <w:t>g</w:t>
      </w:r>
      <w:r w:rsidR="00493DA3">
        <w:rPr>
          <w:lang w:eastAsia="en-US"/>
        </w:rPr>
        <w:t>e</w:t>
      </w:r>
      <w:r w:rsidR="003A2D4C">
        <w:rPr>
          <w:lang w:eastAsia="en-US"/>
        </w:rPr>
        <w:t>r of the Federal Court certified two questions in her decision.</w:t>
      </w:r>
    </w:p>
    <w:p w14:paraId="32E3DDF0" w14:textId="08660F4C" w:rsidR="00FE6559" w:rsidRDefault="00F43D9C" w:rsidP="00FC3AE8">
      <w:pPr>
        <w:pStyle w:val="ListParagraph"/>
        <w:numPr>
          <w:ilvl w:val="0"/>
          <w:numId w:val="1"/>
        </w:numPr>
        <w:spacing w:line="480" w:lineRule="auto"/>
        <w:ind w:left="0" w:firstLine="0"/>
        <w:jc w:val="both"/>
        <w:rPr>
          <w:lang w:eastAsia="en-US"/>
        </w:rPr>
      </w:pPr>
      <w:r>
        <w:rPr>
          <w:lang w:eastAsia="en-US"/>
        </w:rPr>
        <w:t>T</w:t>
      </w:r>
      <w:r w:rsidR="00FE6559" w:rsidRPr="00F91166">
        <w:rPr>
          <w:lang w:eastAsia="en-US"/>
        </w:rPr>
        <w:t xml:space="preserve">he questions </w:t>
      </w:r>
      <w:r w:rsidR="00FE6559">
        <w:rPr>
          <w:lang w:eastAsia="en-US"/>
        </w:rPr>
        <w:t>were not properly</w:t>
      </w:r>
      <w:r w:rsidR="00FE6559" w:rsidRPr="00F91166">
        <w:rPr>
          <w:lang w:eastAsia="en-US"/>
        </w:rPr>
        <w:t xml:space="preserve"> certified. The Respondent asks this Court to dismiss th</w:t>
      </w:r>
      <w:r w:rsidR="00964B30">
        <w:rPr>
          <w:lang w:eastAsia="en-US"/>
        </w:rPr>
        <w:t>is</w:t>
      </w:r>
      <w:r w:rsidR="00FE6559" w:rsidRPr="00F91166">
        <w:rPr>
          <w:lang w:eastAsia="en-US"/>
        </w:rPr>
        <w:t xml:space="preserve"> appeal </w:t>
      </w:r>
      <w:r w:rsidR="00964B30">
        <w:rPr>
          <w:lang w:eastAsia="en-US"/>
        </w:rPr>
        <w:t>outright as a result of</w:t>
      </w:r>
      <w:r w:rsidR="00FE6559" w:rsidRPr="00F91166">
        <w:rPr>
          <w:lang w:eastAsia="en-US"/>
        </w:rPr>
        <w:t xml:space="preserve"> the absence of a valid certified question. Alternatively, if the Court finds that either or both of the questions </w:t>
      </w:r>
      <w:r w:rsidR="00FE6559">
        <w:rPr>
          <w:lang w:eastAsia="en-US"/>
        </w:rPr>
        <w:t>were</w:t>
      </w:r>
      <w:r w:rsidR="00FE6559" w:rsidRPr="00F91166">
        <w:rPr>
          <w:lang w:eastAsia="en-US"/>
        </w:rPr>
        <w:t xml:space="preserve"> properly certified and the appeal is allowed to proceed, </w:t>
      </w:r>
      <w:r w:rsidR="00132337">
        <w:rPr>
          <w:lang w:eastAsia="en-US"/>
        </w:rPr>
        <w:t xml:space="preserve">the </w:t>
      </w:r>
      <w:r w:rsidR="00FE6559" w:rsidRPr="00F91166">
        <w:rPr>
          <w:lang w:eastAsia="en-US"/>
        </w:rPr>
        <w:t xml:space="preserve">Respondent asks this Court to uphold the Federal Court’s decision to set aside the </w:t>
      </w:r>
      <w:r w:rsidR="00204714">
        <w:rPr>
          <w:lang w:eastAsia="en-US"/>
        </w:rPr>
        <w:t>O</w:t>
      </w:r>
      <w:r w:rsidR="00FE6559" w:rsidRPr="00F91166">
        <w:rPr>
          <w:lang w:eastAsia="en-US"/>
        </w:rPr>
        <w:t xml:space="preserve">fficer’s </w:t>
      </w:r>
      <w:r w:rsidR="0081329B">
        <w:rPr>
          <w:lang w:eastAsia="en-US"/>
        </w:rPr>
        <w:t>determination</w:t>
      </w:r>
      <w:r w:rsidR="00FE6559" w:rsidRPr="00F91166">
        <w:rPr>
          <w:lang w:eastAsia="en-US"/>
        </w:rPr>
        <w:t xml:space="preserve"> and to remit the matter for redetermination by a differently constituted panel.</w:t>
      </w:r>
      <w:r w:rsidR="005E2A42">
        <w:rPr>
          <w:lang w:eastAsia="en-US"/>
        </w:rPr>
        <w:t xml:space="preserve"> </w:t>
      </w:r>
    </w:p>
    <w:p w14:paraId="58A6641C" w14:textId="10BFF896" w:rsidR="00FC3AE8" w:rsidRDefault="00FC3AE8" w:rsidP="00FC3AE8">
      <w:pPr>
        <w:pStyle w:val="ListParagraph"/>
        <w:numPr>
          <w:ilvl w:val="0"/>
          <w:numId w:val="1"/>
        </w:numPr>
        <w:spacing w:line="480" w:lineRule="auto"/>
        <w:ind w:left="0" w:firstLine="0"/>
        <w:jc w:val="both"/>
        <w:rPr>
          <w:lang w:eastAsia="en-US"/>
        </w:rPr>
      </w:pPr>
      <w:r>
        <w:rPr>
          <w:lang w:eastAsia="en-US"/>
        </w:rPr>
        <w:t>The Bangladesh National Party</w:t>
      </w:r>
      <w:r w:rsidR="00D54AE0">
        <w:rPr>
          <w:lang w:eastAsia="en-US"/>
        </w:rPr>
        <w:t xml:space="preserve"> (BNP)</w:t>
      </w:r>
      <w:r>
        <w:rPr>
          <w:lang w:eastAsia="en-US"/>
        </w:rPr>
        <w:t xml:space="preserve"> is not an organization that falls under s. 34(1)(b) of the </w:t>
      </w:r>
      <w:r w:rsidRPr="00FC3AE8">
        <w:rPr>
          <w:i/>
          <w:iCs/>
          <w:lang w:eastAsia="en-US"/>
        </w:rPr>
        <w:t>IRPA</w:t>
      </w:r>
      <w:r>
        <w:rPr>
          <w:lang w:eastAsia="en-US"/>
        </w:rPr>
        <w:t xml:space="preserve">. The legitimate democratic function of the </w:t>
      </w:r>
      <w:r w:rsidR="00D54AE0">
        <w:rPr>
          <w:lang w:eastAsia="en-US"/>
        </w:rPr>
        <w:t>BNP</w:t>
      </w:r>
      <w:r>
        <w:rPr>
          <w:lang w:eastAsia="en-US"/>
        </w:rPr>
        <w:t xml:space="preserve"> in Bangladesh’s democratic </w:t>
      </w:r>
      <w:r w:rsidR="00D54AE0">
        <w:rPr>
          <w:lang w:eastAsia="en-US"/>
        </w:rPr>
        <w:t xml:space="preserve">political </w:t>
      </w:r>
      <w:r>
        <w:rPr>
          <w:lang w:eastAsia="en-US"/>
        </w:rPr>
        <w:t xml:space="preserve">system creates a presumption that it is </w:t>
      </w:r>
      <w:r w:rsidRPr="005A65B5">
        <w:rPr>
          <w:b/>
          <w:bCs/>
          <w:i/>
          <w:iCs/>
          <w:lang w:eastAsia="en-US"/>
        </w:rPr>
        <w:t>not</w:t>
      </w:r>
      <w:r>
        <w:rPr>
          <w:lang w:eastAsia="en-US"/>
        </w:rPr>
        <w:t xml:space="preserve"> an organization </w:t>
      </w:r>
      <w:r w:rsidR="00D54AE0">
        <w:rPr>
          <w:lang w:eastAsia="en-US"/>
        </w:rPr>
        <w:t>that has engaged in or instigates subversion by force of the Bangladesh government</w:t>
      </w:r>
      <w:r>
        <w:rPr>
          <w:lang w:eastAsia="en-US"/>
        </w:rPr>
        <w:t>. Moreover, the evidence does not establish the required intention of the BNP to use force in its alleged subversion conduct.</w:t>
      </w:r>
    </w:p>
    <w:p w14:paraId="5FA9EF36" w14:textId="613DCAC0" w:rsidR="00524E7C" w:rsidRDefault="00524E7C" w:rsidP="00524E7C">
      <w:pPr>
        <w:pStyle w:val="ListParagraph"/>
        <w:numPr>
          <w:ilvl w:val="0"/>
          <w:numId w:val="1"/>
        </w:numPr>
        <w:spacing w:line="480" w:lineRule="auto"/>
        <w:ind w:left="0" w:firstLine="0"/>
        <w:jc w:val="both"/>
        <w:rPr>
          <w:lang w:eastAsia="en-US"/>
        </w:rPr>
      </w:pPr>
      <w:r>
        <w:rPr>
          <w:lang w:eastAsia="en-US"/>
        </w:rPr>
        <w:t>Mr</w:t>
      </w:r>
      <w:r w:rsidR="00992068">
        <w:rPr>
          <w:lang w:eastAsia="en-US"/>
        </w:rPr>
        <w:t>.</w:t>
      </w:r>
      <w:r>
        <w:rPr>
          <w:lang w:eastAsia="en-US"/>
        </w:rPr>
        <w:t xml:space="preserve"> Chowdhury was not a member of the BNP pursuant to s 34(1)(f) of the </w:t>
      </w:r>
      <w:r w:rsidRPr="00FE3CCA">
        <w:rPr>
          <w:i/>
          <w:iCs/>
          <w:lang w:eastAsia="en-US"/>
        </w:rPr>
        <w:t>IRPA</w:t>
      </w:r>
      <w:r>
        <w:rPr>
          <w:lang w:eastAsia="en-US"/>
        </w:rPr>
        <w:t xml:space="preserve">. Evidence of duress is relevant to an inadmissibility proceeding. The defence of duress is thus available to </w:t>
      </w:r>
      <w:r w:rsidRPr="007363A1">
        <w:rPr>
          <w:lang w:eastAsia="en-US"/>
        </w:rPr>
        <w:t>Mr</w:t>
      </w:r>
      <w:r w:rsidR="00992068">
        <w:rPr>
          <w:lang w:eastAsia="en-US"/>
        </w:rPr>
        <w:t>.</w:t>
      </w:r>
      <w:r w:rsidRPr="007363A1">
        <w:rPr>
          <w:lang w:eastAsia="en-US"/>
        </w:rPr>
        <w:t xml:space="preserve"> Chowdhury</w:t>
      </w:r>
      <w:r>
        <w:rPr>
          <w:lang w:eastAsia="en-US"/>
        </w:rPr>
        <w:t xml:space="preserve"> for the period of his forced membership. Furthermore, Mr</w:t>
      </w:r>
      <w:r w:rsidR="00992068">
        <w:rPr>
          <w:lang w:eastAsia="en-US"/>
        </w:rPr>
        <w:t>.</w:t>
      </w:r>
      <w:r>
        <w:rPr>
          <w:lang w:eastAsia="en-US"/>
        </w:rPr>
        <w:t xml:space="preserve"> Chowdhury’s period of affiliation with the BNP, prior to being subject to duress, </w:t>
      </w:r>
      <w:r w:rsidRPr="007363A1">
        <w:rPr>
          <w:lang w:eastAsia="en-US"/>
        </w:rPr>
        <w:t>d</w:t>
      </w:r>
      <w:r>
        <w:rPr>
          <w:lang w:eastAsia="en-US"/>
        </w:rPr>
        <w:t>oes</w:t>
      </w:r>
      <w:r w:rsidRPr="007363A1">
        <w:rPr>
          <w:lang w:eastAsia="en-US"/>
        </w:rPr>
        <w:t xml:space="preserve"> not </w:t>
      </w:r>
      <w:r>
        <w:rPr>
          <w:lang w:eastAsia="en-US"/>
        </w:rPr>
        <w:t>satisfy a reasonable finding of</w:t>
      </w:r>
      <w:r w:rsidRPr="007363A1">
        <w:rPr>
          <w:lang w:eastAsia="en-US"/>
        </w:rPr>
        <w:t xml:space="preserve"> membership</w:t>
      </w:r>
      <w:r>
        <w:rPr>
          <w:lang w:eastAsia="en-US"/>
        </w:rPr>
        <w:t xml:space="preserve">. </w:t>
      </w:r>
    </w:p>
    <w:p w14:paraId="35260E45" w14:textId="085E488E" w:rsidR="005D0A26" w:rsidRDefault="005D0A26" w:rsidP="005D0A26">
      <w:pPr>
        <w:spacing w:line="480" w:lineRule="auto"/>
        <w:jc w:val="both"/>
        <w:rPr>
          <w:lang w:eastAsia="en-US"/>
        </w:rPr>
      </w:pPr>
    </w:p>
    <w:p w14:paraId="24122815" w14:textId="77777777" w:rsidR="005D0A26" w:rsidRDefault="005D0A26" w:rsidP="00F12612">
      <w:pPr>
        <w:spacing w:line="480" w:lineRule="auto"/>
        <w:jc w:val="both"/>
        <w:rPr>
          <w:lang w:eastAsia="en-US"/>
        </w:rPr>
      </w:pPr>
    </w:p>
    <w:p w14:paraId="037C30C5" w14:textId="581FCFE4" w:rsidR="00396721" w:rsidRPr="001B6B97" w:rsidRDefault="00C83C6D" w:rsidP="00F12612">
      <w:pPr>
        <w:spacing w:line="480" w:lineRule="auto"/>
        <w:jc w:val="center"/>
        <w:rPr>
          <w:b/>
          <w:bCs/>
        </w:rPr>
      </w:pPr>
      <w:r>
        <w:rPr>
          <w:b/>
          <w:bCs/>
        </w:rPr>
        <w:lastRenderedPageBreak/>
        <w:t xml:space="preserve">PART I: </w:t>
      </w:r>
      <w:r w:rsidR="00396721" w:rsidRPr="001B6B97">
        <w:rPr>
          <w:b/>
          <w:bCs/>
        </w:rPr>
        <w:t>FACTS</w:t>
      </w:r>
    </w:p>
    <w:p w14:paraId="0A90D922" w14:textId="77777777" w:rsidR="003D0CE1" w:rsidRDefault="003D0CE1" w:rsidP="003D0CE1">
      <w:pPr>
        <w:pStyle w:val="ListParagraph"/>
        <w:numPr>
          <w:ilvl w:val="0"/>
          <w:numId w:val="1"/>
        </w:numPr>
        <w:spacing w:line="480" w:lineRule="auto"/>
        <w:ind w:left="0" w:firstLine="0"/>
        <w:jc w:val="both"/>
      </w:pPr>
      <w:r>
        <w:t xml:space="preserve">Mr. Chowdhury is a citizen of Bangladesh and a Convention Refugee residing in Canada. His wife and four-year-old son continue to reside in Bangladesh. Mr. Chowdhury is gay, but due to social norms and constraints in Bangladesh, has never lived openly as such. He occasionally had same-sex relationships, which he believed were in secret.  </w:t>
      </w:r>
    </w:p>
    <w:p w14:paraId="71E69FC7" w14:textId="5BC8D1D2" w:rsidR="003D0CE1" w:rsidRDefault="003D0CE1" w:rsidP="003D0CE1">
      <w:pPr>
        <w:pStyle w:val="ListParagraph"/>
        <w:spacing w:line="480" w:lineRule="auto"/>
        <w:ind w:left="0" w:firstLine="720"/>
        <w:jc w:val="both"/>
      </w:pPr>
      <w:r>
        <w:t>Officer</w:t>
      </w:r>
      <w:r w:rsidR="00C32B4A">
        <w:t>’s</w:t>
      </w:r>
      <w:r>
        <w:t xml:space="preserve"> reasons at paras 2</w:t>
      </w:r>
      <w:r w:rsidR="00320611">
        <w:t xml:space="preserve">, </w:t>
      </w:r>
      <w:r>
        <w:t>3, 8.</w:t>
      </w:r>
    </w:p>
    <w:p w14:paraId="378C7880" w14:textId="77777777" w:rsidR="003D0CE1" w:rsidRDefault="003D0CE1" w:rsidP="003D0CE1">
      <w:pPr>
        <w:pStyle w:val="ListParagraph"/>
        <w:numPr>
          <w:ilvl w:val="0"/>
          <w:numId w:val="1"/>
        </w:numPr>
        <w:spacing w:line="480" w:lineRule="auto"/>
        <w:ind w:left="0" w:firstLine="0"/>
        <w:jc w:val="both"/>
      </w:pPr>
      <w:r>
        <w:t>Mr. Chowdhury worked as the Executive Director of a women’s rights organization in Bangladesh. The mandate of the organization was to promote gender equality, women’s leadership, women’s human rights, and to combat violence against women and children. Mr. Chowdhury received threats from Muslim fundamentalists as a result of his employment.</w:t>
      </w:r>
    </w:p>
    <w:p w14:paraId="22F78CDC" w14:textId="77777777" w:rsidR="003D0CE1" w:rsidRDefault="003D0CE1" w:rsidP="003D0CE1">
      <w:pPr>
        <w:pStyle w:val="ListParagraph"/>
        <w:spacing w:line="480" w:lineRule="auto"/>
        <w:ind w:left="0" w:firstLine="720"/>
        <w:jc w:val="both"/>
      </w:pPr>
      <w:r>
        <w:t>Officer’s reasons at para 5.</w:t>
      </w:r>
    </w:p>
    <w:p w14:paraId="0DE39CE8" w14:textId="3AA4FD7A" w:rsidR="003D0CE1" w:rsidRPr="00F12612" w:rsidRDefault="003D0CE1" w:rsidP="003D0CE1">
      <w:pPr>
        <w:pStyle w:val="ListParagraph"/>
        <w:numPr>
          <w:ilvl w:val="0"/>
          <w:numId w:val="1"/>
        </w:numPr>
        <w:spacing w:line="480" w:lineRule="auto"/>
        <w:ind w:left="0" w:firstLine="0"/>
        <w:jc w:val="both"/>
      </w:pPr>
      <w:r w:rsidRPr="00F12612">
        <w:t xml:space="preserve">Mr. Chowdhury became affiliated with the BNP in 2011 because he felt strongly about supporting democracy in Bangladesh. </w:t>
      </w:r>
      <w:r w:rsidRPr="00F12612">
        <w:rPr>
          <w:rFonts w:asciiTheme="majorBidi" w:hAnsiTheme="majorBidi" w:cstheme="majorBidi"/>
        </w:rPr>
        <w:t>The BNP is a recognized political party</w:t>
      </w:r>
      <w:r w:rsidR="00A41155" w:rsidRPr="00F12612">
        <w:rPr>
          <w:rFonts w:asciiTheme="majorBidi" w:hAnsiTheme="majorBidi" w:cstheme="majorBidi"/>
        </w:rPr>
        <w:t xml:space="preserve"> in Bangladesh,</w:t>
      </w:r>
      <w:r w:rsidRPr="00F12612">
        <w:rPr>
          <w:rFonts w:asciiTheme="majorBidi" w:hAnsiTheme="majorBidi" w:cstheme="majorBidi"/>
        </w:rPr>
        <w:t xml:space="preserve"> with a legitimate democratic function</w:t>
      </w:r>
      <w:r w:rsidR="00A41155" w:rsidRPr="00F12612">
        <w:rPr>
          <w:rFonts w:asciiTheme="majorBidi" w:hAnsiTheme="majorBidi" w:cstheme="majorBidi"/>
        </w:rPr>
        <w:t>. It</w:t>
      </w:r>
      <w:r w:rsidRPr="00F12612">
        <w:rPr>
          <w:rFonts w:asciiTheme="majorBidi" w:hAnsiTheme="majorBidi" w:cstheme="majorBidi"/>
        </w:rPr>
        <w:t xml:space="preserve"> perform</w:t>
      </w:r>
      <w:r w:rsidR="00A41155" w:rsidRPr="00F12612">
        <w:rPr>
          <w:rFonts w:asciiTheme="majorBidi" w:hAnsiTheme="majorBidi" w:cstheme="majorBidi"/>
        </w:rPr>
        <w:t>s</w:t>
      </w:r>
      <w:r w:rsidRPr="00F12612">
        <w:rPr>
          <w:rFonts w:asciiTheme="majorBidi" w:hAnsiTheme="majorBidi" w:cstheme="majorBidi"/>
        </w:rPr>
        <w:t xml:space="preserve"> political activities in a democratic system. The BNP was founded in 1978 and since then has served twice as the ruling party in Bangladesh. </w:t>
      </w:r>
      <w:r w:rsidR="00114978" w:rsidRPr="00F12612">
        <w:t>Mr. Chowdhury expressed his belief that the BNP intended to restore democracy – and that the Awami League (“AL”) had repressed these principles by trying to prevent free and democratic elections.</w:t>
      </w:r>
    </w:p>
    <w:p w14:paraId="7007209B" w14:textId="125B8722" w:rsidR="003D0CE1" w:rsidRDefault="003D0CE1" w:rsidP="003D0CE1">
      <w:pPr>
        <w:pStyle w:val="ListParagraph"/>
        <w:spacing w:line="480" w:lineRule="auto"/>
        <w:jc w:val="both"/>
      </w:pPr>
      <w:r>
        <w:t>Officer’s reasons at para</w:t>
      </w:r>
      <w:r w:rsidR="008323F9">
        <w:t>s</w:t>
      </w:r>
      <w:r>
        <w:t xml:space="preserve"> 14, 16.</w:t>
      </w:r>
    </w:p>
    <w:p w14:paraId="5C7AE094" w14:textId="03A74944" w:rsidR="003D0CE1" w:rsidRDefault="003D0CE1" w:rsidP="003D0CE1">
      <w:pPr>
        <w:pStyle w:val="ListParagraph"/>
        <w:numPr>
          <w:ilvl w:val="0"/>
          <w:numId w:val="1"/>
        </w:numPr>
        <w:spacing w:line="480" w:lineRule="auto"/>
        <w:ind w:left="0" w:firstLine="0"/>
        <w:jc w:val="both"/>
      </w:pPr>
      <w:r w:rsidRPr="00114978">
        <w:t xml:space="preserve">From 2011 to </w:t>
      </w:r>
      <w:r w:rsidR="004D50BE">
        <w:t>November</w:t>
      </w:r>
      <w:r w:rsidRPr="00114978">
        <w:t xml:space="preserve"> 2013, Mr. Chowdhury spent several hours each week handing out pamphlets on the right to vote, and registering and encouraging people to vote.</w:t>
      </w:r>
      <w:r>
        <w:t xml:space="preserve"> In December 2013, Mr. Chowdhury was pressured into becoming a formal member of the BNP. A high ranking BNP member threatened to expose his sexuality to his wife should he refuse to become a member. Fearing he would lose his son should his wife find out, Mr. Chowdhury agreed. He began attending official BNP meetings. </w:t>
      </w:r>
    </w:p>
    <w:p w14:paraId="71067AC9" w14:textId="5C5BCD63" w:rsidR="003D0CE1" w:rsidRDefault="003D0CE1" w:rsidP="003D0CE1">
      <w:pPr>
        <w:pStyle w:val="ListParagraph"/>
        <w:spacing w:line="480" w:lineRule="auto"/>
        <w:ind w:left="0" w:firstLine="720"/>
        <w:jc w:val="both"/>
      </w:pPr>
      <w:r>
        <w:t>Officer’s reasons at para</w:t>
      </w:r>
      <w:r w:rsidR="008323F9">
        <w:t>s</w:t>
      </w:r>
      <w:r>
        <w:t xml:space="preserve"> 17</w:t>
      </w:r>
      <w:r w:rsidR="00320611">
        <w:t xml:space="preserve">, </w:t>
      </w:r>
      <w:r>
        <w:t>18.</w:t>
      </w:r>
    </w:p>
    <w:p w14:paraId="20A155E0" w14:textId="77777777" w:rsidR="003D0CE1" w:rsidRDefault="003D0CE1" w:rsidP="003D0CE1">
      <w:pPr>
        <w:pStyle w:val="ListParagraph"/>
        <w:numPr>
          <w:ilvl w:val="0"/>
          <w:numId w:val="1"/>
        </w:numPr>
        <w:spacing w:line="480" w:lineRule="auto"/>
        <w:ind w:left="0" w:firstLine="0"/>
        <w:jc w:val="both"/>
      </w:pPr>
      <w:r>
        <w:t xml:space="preserve">In February 2014, Mr Chowdhury fled Bangladesh after resigning his membership from the BNP. Mr. Chowdhury did not participate in BNP preparations for the election, nor was he involved in any election day activities. </w:t>
      </w:r>
    </w:p>
    <w:p w14:paraId="686838BB" w14:textId="44FA9431" w:rsidR="003D0CE1" w:rsidRDefault="003D0CE1" w:rsidP="003D0CE1">
      <w:pPr>
        <w:pStyle w:val="ListParagraph"/>
        <w:spacing w:line="480" w:lineRule="auto"/>
        <w:ind w:left="0" w:firstLine="720"/>
        <w:jc w:val="both"/>
      </w:pPr>
      <w:r>
        <w:t xml:space="preserve">Officer’s reasons at para 18. </w:t>
      </w:r>
    </w:p>
    <w:p w14:paraId="01554D48" w14:textId="58CF70E0" w:rsidR="003D0CE1" w:rsidRDefault="003D0CE1" w:rsidP="003D0CE1">
      <w:pPr>
        <w:pStyle w:val="ListParagraph"/>
        <w:numPr>
          <w:ilvl w:val="0"/>
          <w:numId w:val="1"/>
        </w:numPr>
        <w:spacing w:line="480" w:lineRule="auto"/>
        <w:ind w:left="0" w:firstLine="0"/>
        <w:jc w:val="both"/>
      </w:pPr>
      <w:r>
        <w:t xml:space="preserve">The BNP called for hartals in the January 2014 general election. </w:t>
      </w:r>
      <w:r w:rsidRPr="007717AA">
        <w:rPr>
          <w:lang w:eastAsia="en-US"/>
        </w:rPr>
        <w:t xml:space="preserve">Hartals are general and national strikes or protests, including stoppage of traffic and closure of markets, shops, and offices for a period of time. </w:t>
      </w:r>
      <w:r>
        <w:rPr>
          <w:lang w:eastAsia="en-US"/>
        </w:rPr>
        <w:t>The</w:t>
      </w:r>
      <w:r w:rsidRPr="007717AA">
        <w:rPr>
          <w:lang w:eastAsia="en-US"/>
        </w:rPr>
        <w:t xml:space="preserve"> use of hartals is not exclusive to the BNP</w:t>
      </w:r>
      <w:r>
        <w:rPr>
          <w:lang w:eastAsia="en-US"/>
        </w:rPr>
        <w:t xml:space="preserve">. </w:t>
      </w:r>
    </w:p>
    <w:p w14:paraId="4082737C" w14:textId="4D0E9F1A" w:rsidR="003D0CE1" w:rsidRPr="00DD2AA0" w:rsidRDefault="003D0CE1" w:rsidP="003D0CE1">
      <w:pPr>
        <w:pStyle w:val="ListParagraph"/>
        <w:pBdr>
          <w:top w:val="nil"/>
          <w:left w:val="nil"/>
          <w:bottom w:val="nil"/>
          <w:right w:val="nil"/>
          <w:between w:val="nil"/>
        </w:pBdr>
        <w:spacing w:line="480" w:lineRule="auto"/>
        <w:rPr>
          <w:rFonts w:asciiTheme="majorBidi" w:hAnsiTheme="majorBidi" w:cstheme="majorBidi"/>
          <w:color w:val="000000"/>
        </w:rPr>
      </w:pPr>
      <w:r w:rsidRPr="007717AA">
        <w:rPr>
          <w:rFonts w:asciiTheme="majorBidi" w:hAnsiTheme="majorBidi" w:cstheme="majorBidi"/>
          <w:color w:val="000000"/>
        </w:rPr>
        <w:t>Officer’s reasons at para</w:t>
      </w:r>
      <w:r w:rsidR="008323F9">
        <w:rPr>
          <w:rFonts w:asciiTheme="majorBidi" w:hAnsiTheme="majorBidi" w:cstheme="majorBidi"/>
          <w:color w:val="000000"/>
        </w:rPr>
        <w:t>s</w:t>
      </w:r>
      <w:r w:rsidRPr="007717AA">
        <w:rPr>
          <w:rFonts w:asciiTheme="majorBidi" w:hAnsiTheme="majorBidi" w:cstheme="majorBidi"/>
          <w:color w:val="000000"/>
        </w:rPr>
        <w:t xml:space="preserve"> </w:t>
      </w:r>
      <w:r>
        <w:rPr>
          <w:rFonts w:asciiTheme="majorBidi" w:hAnsiTheme="majorBidi" w:cstheme="majorBidi"/>
          <w:color w:val="000000"/>
        </w:rPr>
        <w:t>18, 29</w:t>
      </w:r>
      <w:r w:rsidRPr="007717AA">
        <w:rPr>
          <w:rFonts w:asciiTheme="majorBidi" w:hAnsiTheme="majorBidi" w:cstheme="majorBidi"/>
          <w:color w:val="000000"/>
        </w:rPr>
        <w:t>.</w:t>
      </w:r>
      <w:r>
        <w:rPr>
          <w:rFonts w:asciiTheme="majorBidi" w:hAnsiTheme="majorBidi" w:cstheme="majorBidi"/>
          <w:color w:val="000000"/>
        </w:rPr>
        <w:t xml:space="preserve">  </w:t>
      </w:r>
    </w:p>
    <w:p w14:paraId="67953BF4" w14:textId="77777777" w:rsidR="003D0CE1" w:rsidRDefault="003D0CE1" w:rsidP="003D0CE1">
      <w:pPr>
        <w:pStyle w:val="ListParagraph"/>
        <w:numPr>
          <w:ilvl w:val="0"/>
          <w:numId w:val="1"/>
        </w:numPr>
        <w:spacing w:line="480" w:lineRule="auto"/>
        <w:ind w:left="0" w:firstLine="0"/>
        <w:jc w:val="both"/>
      </w:pPr>
      <w:r>
        <w:t>Mr. Chowdhury made a claim for refugee protection in Canada on January 23, 2016. The claim was accepted on December 14, 2017.</w:t>
      </w:r>
      <w:r w:rsidRPr="00DD2AA0">
        <w:t xml:space="preserve"> </w:t>
      </w:r>
      <w:r>
        <w:t>On February 14, 2018, Mr Chowdhury applied for permanent residence as a protected person, with his wife and son listed as accompanying dependents.</w:t>
      </w:r>
    </w:p>
    <w:p w14:paraId="6329F820" w14:textId="64C78C43" w:rsidR="003D0CE1" w:rsidRDefault="003D0CE1" w:rsidP="003D0CE1">
      <w:pPr>
        <w:pStyle w:val="ListParagraph"/>
        <w:spacing w:line="480" w:lineRule="auto"/>
        <w:ind w:left="0" w:firstLine="720"/>
        <w:jc w:val="both"/>
      </w:pPr>
      <w:r>
        <w:t>Officer’s reasons at para</w:t>
      </w:r>
      <w:r w:rsidR="00320611">
        <w:t>s</w:t>
      </w:r>
      <w:r>
        <w:t xml:space="preserve"> 7-9.</w:t>
      </w:r>
    </w:p>
    <w:p w14:paraId="5C20C076" w14:textId="77777777" w:rsidR="003D0CE1" w:rsidRDefault="003D0CE1" w:rsidP="003D0CE1">
      <w:pPr>
        <w:pStyle w:val="ListParagraph"/>
        <w:numPr>
          <w:ilvl w:val="0"/>
          <w:numId w:val="1"/>
        </w:numPr>
        <w:spacing w:line="480" w:lineRule="auto"/>
        <w:ind w:left="0" w:firstLine="0"/>
        <w:jc w:val="both"/>
      </w:pPr>
      <w:r>
        <w:t xml:space="preserve">On November 25, 2019, Mr Chowdhury received a letter from Immigration Officer Ali (“the Officer”) refusing his application for permanent residence on grounds of inadmissibility pursuant to s 34(1)(b) and (f) of the </w:t>
      </w:r>
      <w:r w:rsidRPr="00CF251F">
        <w:rPr>
          <w:i/>
          <w:iCs/>
        </w:rPr>
        <w:t>IRPA</w:t>
      </w:r>
      <w:r>
        <w:t xml:space="preserve">. </w:t>
      </w:r>
    </w:p>
    <w:p w14:paraId="6F844ABA" w14:textId="77777777" w:rsidR="003D0CE1" w:rsidRDefault="003D0CE1" w:rsidP="003D0CE1">
      <w:pPr>
        <w:pStyle w:val="ListParagraph"/>
        <w:numPr>
          <w:ilvl w:val="0"/>
          <w:numId w:val="1"/>
        </w:numPr>
        <w:spacing w:line="480" w:lineRule="auto"/>
        <w:ind w:left="0" w:firstLine="0"/>
        <w:jc w:val="both"/>
      </w:pPr>
      <w:r>
        <w:t>The Officer found that the BNP is an organization that has engaged in, or instigated, the subversion by force of the Bangladesh government. The Officer determined that the BNP’s status as a political party engaged in the democratic process is not relevant in the application of s. 34(1)(b). He further determined that the BNP purposefully called for hartals with the sole intent of overthrowing the ruling government through the accompanying violence.</w:t>
      </w:r>
    </w:p>
    <w:p w14:paraId="4133B5EF" w14:textId="6862753B" w:rsidR="003D0CE1" w:rsidRPr="001F3ACD" w:rsidRDefault="003D0CE1" w:rsidP="003D0CE1">
      <w:pPr>
        <w:pStyle w:val="ListParagraph"/>
        <w:pBdr>
          <w:top w:val="nil"/>
          <w:left w:val="nil"/>
          <w:bottom w:val="nil"/>
          <w:right w:val="nil"/>
          <w:between w:val="nil"/>
        </w:pBdr>
        <w:spacing w:line="480" w:lineRule="auto"/>
        <w:rPr>
          <w:rFonts w:asciiTheme="majorBidi" w:hAnsiTheme="majorBidi" w:cstheme="majorBidi"/>
          <w:color w:val="000000"/>
        </w:rPr>
      </w:pPr>
      <w:r w:rsidRPr="007717AA">
        <w:rPr>
          <w:rFonts w:asciiTheme="majorBidi" w:hAnsiTheme="majorBidi" w:cstheme="majorBidi"/>
          <w:color w:val="000000"/>
        </w:rPr>
        <w:t>Officer’s reasons at para</w:t>
      </w:r>
      <w:r>
        <w:rPr>
          <w:rFonts w:asciiTheme="majorBidi" w:hAnsiTheme="majorBidi" w:cstheme="majorBidi"/>
          <w:color w:val="000000"/>
        </w:rPr>
        <w:t>s</w:t>
      </w:r>
      <w:r w:rsidRPr="007717AA">
        <w:rPr>
          <w:rFonts w:asciiTheme="majorBidi" w:hAnsiTheme="majorBidi" w:cstheme="majorBidi"/>
          <w:color w:val="000000"/>
        </w:rPr>
        <w:t xml:space="preserve"> </w:t>
      </w:r>
      <w:r>
        <w:rPr>
          <w:rFonts w:asciiTheme="majorBidi" w:hAnsiTheme="majorBidi" w:cstheme="majorBidi"/>
          <w:color w:val="000000"/>
        </w:rPr>
        <w:t>1</w:t>
      </w:r>
      <w:r w:rsidR="00320611">
        <w:rPr>
          <w:rFonts w:asciiTheme="majorBidi" w:hAnsiTheme="majorBidi" w:cstheme="majorBidi"/>
          <w:color w:val="000000"/>
        </w:rPr>
        <w:t xml:space="preserve">, </w:t>
      </w:r>
      <w:r>
        <w:rPr>
          <w:rFonts w:asciiTheme="majorBidi" w:hAnsiTheme="majorBidi" w:cstheme="majorBidi"/>
          <w:color w:val="000000"/>
        </w:rPr>
        <w:t>29</w:t>
      </w:r>
      <w:r w:rsidRPr="007717AA">
        <w:rPr>
          <w:rFonts w:asciiTheme="majorBidi" w:hAnsiTheme="majorBidi" w:cstheme="majorBidi"/>
          <w:color w:val="000000"/>
        </w:rPr>
        <w:t>.</w:t>
      </w:r>
    </w:p>
    <w:p w14:paraId="77D76F1B" w14:textId="77777777" w:rsidR="003D0CE1" w:rsidRDefault="003D0CE1" w:rsidP="003D0CE1">
      <w:pPr>
        <w:pStyle w:val="ListParagraph"/>
        <w:numPr>
          <w:ilvl w:val="0"/>
          <w:numId w:val="1"/>
        </w:numPr>
        <w:spacing w:line="480" w:lineRule="auto"/>
        <w:ind w:left="0" w:firstLine="0"/>
        <w:jc w:val="both"/>
      </w:pPr>
      <w:r>
        <w:t>The Officer found that Mr. Chowdhury was a member of the BNP. The Officer determined that duress cannot be used as a defence in a finding of membership under s. 34(1)(f). Based on the facts before him, the Officer found that Mr. Chowdhury’s involvement with the BNP from 2011 to November 2013 constituted membership.</w:t>
      </w:r>
    </w:p>
    <w:p w14:paraId="1ECE647C" w14:textId="77777777" w:rsidR="003D0CE1" w:rsidRPr="00A375E2" w:rsidRDefault="003D0CE1" w:rsidP="003D0CE1">
      <w:pPr>
        <w:pStyle w:val="ListParagraph"/>
        <w:pBdr>
          <w:top w:val="nil"/>
          <w:left w:val="nil"/>
          <w:bottom w:val="nil"/>
          <w:right w:val="nil"/>
          <w:between w:val="nil"/>
        </w:pBdr>
        <w:spacing w:line="480" w:lineRule="auto"/>
        <w:rPr>
          <w:rFonts w:asciiTheme="majorBidi" w:hAnsiTheme="majorBidi" w:cstheme="majorBidi"/>
          <w:color w:val="000000"/>
        </w:rPr>
      </w:pPr>
      <w:r w:rsidRPr="007717AA">
        <w:rPr>
          <w:rFonts w:asciiTheme="majorBidi" w:hAnsiTheme="majorBidi" w:cstheme="majorBidi"/>
          <w:color w:val="000000"/>
        </w:rPr>
        <w:t>Officer’s reasons at para</w:t>
      </w:r>
      <w:r>
        <w:rPr>
          <w:rFonts w:asciiTheme="majorBidi" w:hAnsiTheme="majorBidi" w:cstheme="majorBidi"/>
          <w:color w:val="000000"/>
        </w:rPr>
        <w:t>s</w:t>
      </w:r>
      <w:r w:rsidRPr="007717AA">
        <w:rPr>
          <w:rFonts w:asciiTheme="majorBidi" w:hAnsiTheme="majorBidi" w:cstheme="majorBidi"/>
          <w:color w:val="000000"/>
        </w:rPr>
        <w:t xml:space="preserve"> </w:t>
      </w:r>
      <w:r>
        <w:rPr>
          <w:rFonts w:asciiTheme="majorBidi" w:hAnsiTheme="majorBidi" w:cstheme="majorBidi"/>
          <w:color w:val="000000"/>
        </w:rPr>
        <w:t>24-26</w:t>
      </w:r>
      <w:r w:rsidRPr="007717AA">
        <w:rPr>
          <w:rFonts w:asciiTheme="majorBidi" w:hAnsiTheme="majorBidi" w:cstheme="majorBidi"/>
          <w:color w:val="000000"/>
        </w:rPr>
        <w:t>.</w:t>
      </w:r>
    </w:p>
    <w:p w14:paraId="6EF19E51" w14:textId="77777777" w:rsidR="003D0CE1" w:rsidRDefault="003D0CE1" w:rsidP="003D0CE1">
      <w:pPr>
        <w:pStyle w:val="ListParagraph"/>
        <w:numPr>
          <w:ilvl w:val="0"/>
          <w:numId w:val="1"/>
        </w:numPr>
        <w:spacing w:line="480" w:lineRule="auto"/>
        <w:ind w:left="0" w:firstLine="0"/>
        <w:jc w:val="both"/>
        <w:rPr>
          <w:lang w:eastAsia="en-US"/>
        </w:rPr>
      </w:pPr>
      <w:r w:rsidRPr="00A375E2">
        <w:rPr>
          <w:lang w:eastAsia="en-US"/>
        </w:rPr>
        <w:t xml:space="preserve">Mr. Chowdhury </w:t>
      </w:r>
      <w:r>
        <w:rPr>
          <w:lang w:eastAsia="en-US"/>
        </w:rPr>
        <w:t>applied for judicial review of</w:t>
      </w:r>
      <w:r w:rsidRPr="00A375E2">
        <w:rPr>
          <w:lang w:eastAsia="en-US"/>
        </w:rPr>
        <w:t xml:space="preserve"> </w:t>
      </w:r>
      <w:r>
        <w:rPr>
          <w:lang w:eastAsia="en-US"/>
        </w:rPr>
        <w:t>the Officer’s</w:t>
      </w:r>
      <w:r w:rsidRPr="00A375E2">
        <w:rPr>
          <w:lang w:eastAsia="en-US"/>
        </w:rPr>
        <w:t xml:space="preserve"> decision to the Federal Court</w:t>
      </w:r>
      <w:r>
        <w:rPr>
          <w:lang w:eastAsia="en-US"/>
        </w:rPr>
        <w:t>. Justice Jagger</w:t>
      </w:r>
      <w:r w:rsidRPr="00A375E2">
        <w:rPr>
          <w:lang w:eastAsia="en-US"/>
        </w:rPr>
        <w:t xml:space="preserve"> set aside</w:t>
      </w:r>
      <w:r>
        <w:rPr>
          <w:lang w:eastAsia="en-US"/>
        </w:rPr>
        <w:t xml:space="preserve"> the decision, holding that the Officer erred in finding that duress did not apply to the circumstances of Mr. Chowdhury’s case, and further, in finding that the BNP is caught by under s. 34(1)(b). Justice Jagger certified two questions in her decision.</w:t>
      </w:r>
    </w:p>
    <w:p w14:paraId="46538F3F" w14:textId="77777777" w:rsidR="003D0CE1" w:rsidRDefault="003D0CE1" w:rsidP="003D0CE1">
      <w:pPr>
        <w:pStyle w:val="ListParagraph"/>
        <w:rPr>
          <w:rFonts w:asciiTheme="majorBidi" w:hAnsiTheme="majorBidi" w:cstheme="majorBidi"/>
          <w:i/>
          <w:iCs/>
        </w:rPr>
      </w:pPr>
      <w:r w:rsidRPr="00C22DCA">
        <w:rPr>
          <w:rFonts w:asciiTheme="majorBidi" w:hAnsiTheme="majorBidi" w:cstheme="majorBidi"/>
          <w:i/>
          <w:iCs/>
        </w:rPr>
        <w:t xml:space="preserve">Chowdhury v Canada (Citizenship and Immigration), </w:t>
      </w:r>
      <w:r w:rsidRPr="00CF251F">
        <w:rPr>
          <w:rFonts w:asciiTheme="majorBidi" w:hAnsiTheme="majorBidi" w:cstheme="majorBidi"/>
        </w:rPr>
        <w:t>2020 FC 1987</w:t>
      </w:r>
      <w:r>
        <w:rPr>
          <w:rFonts w:asciiTheme="majorBidi" w:hAnsiTheme="majorBidi" w:cstheme="majorBidi"/>
          <w:i/>
          <w:iCs/>
        </w:rPr>
        <w:t xml:space="preserve"> </w:t>
      </w:r>
      <w:r w:rsidRPr="00AF0FCC">
        <w:rPr>
          <w:rFonts w:asciiTheme="majorBidi" w:hAnsiTheme="majorBidi" w:cstheme="majorBidi"/>
        </w:rPr>
        <w:t>[</w:t>
      </w:r>
      <w:r w:rsidRPr="00C22DCA">
        <w:rPr>
          <w:rFonts w:asciiTheme="majorBidi" w:hAnsiTheme="majorBidi" w:cstheme="majorBidi"/>
          <w:i/>
          <w:iCs/>
        </w:rPr>
        <w:t>Chowdhury</w:t>
      </w:r>
      <w:r w:rsidRPr="00AF0FCC">
        <w:rPr>
          <w:rFonts w:asciiTheme="majorBidi" w:hAnsiTheme="majorBidi" w:cstheme="majorBidi"/>
        </w:rPr>
        <w:t>]</w:t>
      </w:r>
      <w:r w:rsidRPr="00C22DCA">
        <w:rPr>
          <w:rFonts w:asciiTheme="majorBidi" w:hAnsiTheme="majorBidi" w:cstheme="majorBidi"/>
          <w:i/>
          <w:iCs/>
        </w:rPr>
        <w:t>.</w:t>
      </w:r>
    </w:p>
    <w:p w14:paraId="0EAB4D9D" w14:textId="77777777" w:rsidR="003D0CE1" w:rsidRPr="00CF251F" w:rsidRDefault="003D0CE1" w:rsidP="003D0CE1">
      <w:pPr>
        <w:pStyle w:val="ListParagraph"/>
        <w:rPr>
          <w:rFonts w:asciiTheme="majorBidi" w:hAnsiTheme="majorBidi" w:cstheme="majorBidi"/>
          <w:i/>
          <w:iCs/>
        </w:rPr>
      </w:pPr>
    </w:p>
    <w:p w14:paraId="5CCD3ED3" w14:textId="77777777" w:rsidR="003D0CE1" w:rsidRPr="00D22755" w:rsidRDefault="003D0CE1" w:rsidP="003D0CE1">
      <w:pPr>
        <w:pStyle w:val="ListParagraph"/>
        <w:numPr>
          <w:ilvl w:val="0"/>
          <w:numId w:val="1"/>
        </w:numPr>
        <w:spacing w:line="480" w:lineRule="auto"/>
        <w:ind w:left="0" w:firstLine="0"/>
        <w:jc w:val="both"/>
        <w:rPr>
          <w:lang w:eastAsia="en-US"/>
        </w:rPr>
      </w:pPr>
      <w:r>
        <w:rPr>
          <w:lang w:eastAsia="en-US"/>
        </w:rPr>
        <w:t xml:space="preserve">Justic Jagger held that </w:t>
      </w:r>
      <w:r w:rsidRPr="00BE3AFF">
        <w:rPr>
          <w:color w:val="000000" w:themeColor="text1"/>
          <w:lang w:eastAsia="en-US"/>
        </w:rPr>
        <w:t xml:space="preserve">duress is a relevant consideration </w:t>
      </w:r>
      <w:r>
        <w:rPr>
          <w:color w:val="000000" w:themeColor="text1"/>
          <w:lang w:eastAsia="en-US"/>
        </w:rPr>
        <w:t>under</w:t>
      </w:r>
      <w:r w:rsidRPr="00BE3AFF">
        <w:rPr>
          <w:color w:val="000000" w:themeColor="text1"/>
          <w:lang w:eastAsia="en-US"/>
        </w:rPr>
        <w:t xml:space="preserve"> </w:t>
      </w:r>
      <w:r>
        <w:rPr>
          <w:color w:val="000000" w:themeColor="text1"/>
          <w:lang w:eastAsia="en-US"/>
        </w:rPr>
        <w:t xml:space="preserve">s. </w:t>
      </w:r>
      <w:r w:rsidRPr="00BE3AFF">
        <w:rPr>
          <w:color w:val="000000" w:themeColor="text1"/>
          <w:lang w:eastAsia="en-US"/>
        </w:rPr>
        <w:t>34(1)(f) and</w:t>
      </w:r>
      <w:r>
        <w:rPr>
          <w:color w:val="000000" w:themeColor="text1"/>
          <w:lang w:eastAsia="en-US"/>
        </w:rPr>
        <w:t xml:space="preserve"> further, that duress applies</w:t>
      </w:r>
      <w:r w:rsidRPr="00BE3AFF">
        <w:rPr>
          <w:color w:val="000000" w:themeColor="text1"/>
          <w:lang w:eastAsia="en-US"/>
        </w:rPr>
        <w:t xml:space="preserve"> to Mr</w:t>
      </w:r>
      <w:r>
        <w:rPr>
          <w:color w:val="000000" w:themeColor="text1"/>
          <w:lang w:eastAsia="en-US"/>
        </w:rPr>
        <w:t>.</w:t>
      </w:r>
      <w:r w:rsidRPr="00BE3AFF">
        <w:rPr>
          <w:color w:val="000000" w:themeColor="text1"/>
          <w:lang w:eastAsia="en-US"/>
        </w:rPr>
        <w:t xml:space="preserve"> Chowdhury’s circumstances</w:t>
      </w:r>
      <w:r>
        <w:rPr>
          <w:color w:val="000000" w:themeColor="text1"/>
          <w:lang w:eastAsia="en-US"/>
        </w:rPr>
        <w:t>.</w:t>
      </w:r>
    </w:p>
    <w:p w14:paraId="48F006BC" w14:textId="41D98DBD" w:rsidR="003D0CE1" w:rsidRDefault="003D0CE1" w:rsidP="003D0CE1">
      <w:pPr>
        <w:pStyle w:val="ListParagraph"/>
        <w:rPr>
          <w:rFonts w:asciiTheme="majorBidi" w:hAnsiTheme="majorBidi" w:cstheme="majorBidi"/>
          <w:i/>
          <w:iCs/>
        </w:rPr>
      </w:pPr>
      <w:r w:rsidRPr="00C22DCA">
        <w:rPr>
          <w:rFonts w:asciiTheme="majorBidi" w:hAnsiTheme="majorBidi" w:cstheme="majorBidi"/>
          <w:i/>
          <w:iCs/>
        </w:rPr>
        <w:t>Chowdhury</w:t>
      </w:r>
      <w:r>
        <w:rPr>
          <w:rFonts w:asciiTheme="majorBidi" w:hAnsiTheme="majorBidi" w:cstheme="majorBidi"/>
          <w:i/>
          <w:iCs/>
        </w:rPr>
        <w:t>, supra</w:t>
      </w:r>
      <w:r w:rsidR="00215636">
        <w:rPr>
          <w:rFonts w:asciiTheme="majorBidi" w:hAnsiTheme="majorBidi" w:cstheme="majorBidi"/>
          <w:i/>
          <w:iCs/>
        </w:rPr>
        <w:t xml:space="preserve"> </w:t>
      </w:r>
      <w:r w:rsidR="00215636">
        <w:rPr>
          <w:rFonts w:asciiTheme="majorBidi" w:hAnsiTheme="majorBidi" w:cstheme="majorBidi"/>
        </w:rPr>
        <w:t xml:space="preserve">para 15 </w:t>
      </w:r>
      <w:r w:rsidRPr="004307D8">
        <w:rPr>
          <w:rFonts w:asciiTheme="majorBidi" w:hAnsiTheme="majorBidi" w:cstheme="majorBidi"/>
        </w:rPr>
        <w:t>at para 2</w:t>
      </w:r>
      <w:r>
        <w:rPr>
          <w:rFonts w:asciiTheme="majorBidi" w:hAnsiTheme="majorBidi" w:cstheme="majorBidi"/>
        </w:rPr>
        <w:t>2</w:t>
      </w:r>
      <w:r w:rsidRPr="00C22DCA">
        <w:rPr>
          <w:rFonts w:asciiTheme="majorBidi" w:hAnsiTheme="majorBidi" w:cstheme="majorBidi"/>
          <w:i/>
          <w:iCs/>
        </w:rPr>
        <w:t>.</w:t>
      </w:r>
    </w:p>
    <w:p w14:paraId="3B3F2B38" w14:textId="77777777" w:rsidR="003D0CE1" w:rsidRPr="00D22755" w:rsidRDefault="003D0CE1" w:rsidP="003D0CE1">
      <w:pPr>
        <w:pStyle w:val="ListParagraph"/>
        <w:rPr>
          <w:rFonts w:asciiTheme="majorBidi" w:hAnsiTheme="majorBidi" w:cstheme="majorBidi"/>
          <w:i/>
          <w:iCs/>
        </w:rPr>
      </w:pPr>
    </w:p>
    <w:p w14:paraId="0169E3C8" w14:textId="77777777" w:rsidR="003D0CE1" w:rsidRDefault="003D0CE1" w:rsidP="003D0CE1">
      <w:pPr>
        <w:pStyle w:val="ListParagraph"/>
        <w:numPr>
          <w:ilvl w:val="0"/>
          <w:numId w:val="1"/>
        </w:numPr>
        <w:spacing w:line="480" w:lineRule="auto"/>
        <w:ind w:left="0" w:firstLine="0"/>
        <w:jc w:val="both"/>
        <w:rPr>
          <w:lang w:eastAsia="en-US"/>
        </w:rPr>
      </w:pPr>
      <w:r>
        <w:rPr>
          <w:lang w:eastAsia="en-US"/>
        </w:rPr>
        <w:t xml:space="preserve">Justice Jagger held that the BNP should be presumed to be acting in its legitimate political function through the exercise of democratic functions and political activities, and not an organization that falls under s. 34(1)(b). She further held that the evidence does not establish that the </w:t>
      </w:r>
      <w:r w:rsidRPr="00C22DCA">
        <w:rPr>
          <w:lang w:eastAsia="en-US"/>
        </w:rPr>
        <w:t>BNP</w:t>
      </w:r>
      <w:r>
        <w:rPr>
          <w:lang w:eastAsia="en-US"/>
        </w:rPr>
        <w:t xml:space="preserve"> intended the accompanying violence when it called for hartals.</w:t>
      </w:r>
    </w:p>
    <w:p w14:paraId="64798DB1" w14:textId="54767A24" w:rsidR="00CF251F" w:rsidRDefault="003D0CE1" w:rsidP="003D0CE1">
      <w:pPr>
        <w:pStyle w:val="ListParagraph"/>
        <w:rPr>
          <w:rFonts w:asciiTheme="majorBidi" w:hAnsiTheme="majorBidi" w:cstheme="majorBidi"/>
          <w:i/>
          <w:iCs/>
        </w:rPr>
      </w:pPr>
      <w:r w:rsidRPr="00C22DCA">
        <w:rPr>
          <w:rFonts w:asciiTheme="majorBidi" w:hAnsiTheme="majorBidi" w:cstheme="majorBidi"/>
          <w:i/>
          <w:iCs/>
        </w:rPr>
        <w:t>Chowdhury</w:t>
      </w:r>
      <w:r>
        <w:rPr>
          <w:rFonts w:asciiTheme="majorBidi" w:hAnsiTheme="majorBidi" w:cstheme="majorBidi"/>
          <w:i/>
          <w:iCs/>
        </w:rPr>
        <w:t>, supra</w:t>
      </w:r>
      <w:r w:rsidR="00215636">
        <w:rPr>
          <w:rFonts w:asciiTheme="majorBidi" w:hAnsiTheme="majorBidi" w:cstheme="majorBidi"/>
          <w:i/>
          <w:iCs/>
        </w:rPr>
        <w:t xml:space="preserve"> </w:t>
      </w:r>
      <w:r w:rsidR="00215636">
        <w:rPr>
          <w:rFonts w:asciiTheme="majorBidi" w:hAnsiTheme="majorBidi" w:cstheme="majorBidi"/>
        </w:rPr>
        <w:t xml:space="preserve">para 15 </w:t>
      </w:r>
      <w:r w:rsidRPr="004307D8">
        <w:rPr>
          <w:rFonts w:asciiTheme="majorBidi" w:hAnsiTheme="majorBidi" w:cstheme="majorBidi"/>
        </w:rPr>
        <w:t>at para</w:t>
      </w:r>
      <w:r>
        <w:rPr>
          <w:rFonts w:asciiTheme="majorBidi" w:hAnsiTheme="majorBidi" w:cstheme="majorBidi"/>
        </w:rPr>
        <w:t>s</w:t>
      </w:r>
      <w:r w:rsidRPr="004307D8">
        <w:rPr>
          <w:rFonts w:asciiTheme="majorBidi" w:hAnsiTheme="majorBidi" w:cstheme="majorBidi"/>
        </w:rPr>
        <w:t xml:space="preserve"> 2</w:t>
      </w:r>
      <w:r>
        <w:rPr>
          <w:rFonts w:asciiTheme="majorBidi" w:hAnsiTheme="majorBidi" w:cstheme="majorBidi"/>
        </w:rPr>
        <w:t>3</w:t>
      </w:r>
      <w:r w:rsidR="00215636">
        <w:rPr>
          <w:rFonts w:asciiTheme="majorBidi" w:hAnsiTheme="majorBidi" w:cstheme="majorBidi"/>
        </w:rPr>
        <w:t xml:space="preserve">, </w:t>
      </w:r>
      <w:r>
        <w:rPr>
          <w:rFonts w:asciiTheme="majorBidi" w:hAnsiTheme="majorBidi" w:cstheme="majorBidi"/>
        </w:rPr>
        <w:t>26</w:t>
      </w:r>
      <w:r w:rsidRPr="00C22DCA">
        <w:rPr>
          <w:rFonts w:asciiTheme="majorBidi" w:hAnsiTheme="majorBidi" w:cstheme="majorBidi"/>
          <w:i/>
          <w:iCs/>
        </w:rPr>
        <w:t>.</w:t>
      </w:r>
    </w:p>
    <w:p w14:paraId="4E86285F" w14:textId="77777777" w:rsidR="005D0A26" w:rsidRPr="003D0CE1" w:rsidRDefault="005D0A26" w:rsidP="003D0CE1">
      <w:pPr>
        <w:pStyle w:val="ListParagraph"/>
        <w:rPr>
          <w:rFonts w:asciiTheme="majorBidi" w:hAnsiTheme="majorBidi" w:cstheme="majorBidi"/>
          <w:i/>
          <w:iCs/>
        </w:rPr>
      </w:pPr>
    </w:p>
    <w:p w14:paraId="6BE875F0" w14:textId="6CA23DC3" w:rsidR="005D0A26" w:rsidRPr="00F12612" w:rsidRDefault="005D0A26" w:rsidP="00F12612">
      <w:pPr>
        <w:pStyle w:val="ListParagraph"/>
        <w:numPr>
          <w:ilvl w:val="0"/>
          <w:numId w:val="1"/>
        </w:numPr>
        <w:spacing w:line="480" w:lineRule="auto"/>
        <w:ind w:left="0" w:firstLine="0"/>
        <w:jc w:val="both"/>
        <w:rPr>
          <w:lang w:eastAsia="en-US"/>
        </w:rPr>
      </w:pPr>
      <w:r>
        <w:rPr>
          <w:lang w:eastAsia="en-US"/>
        </w:rPr>
        <w:br w:type="page"/>
      </w:r>
    </w:p>
    <w:p w14:paraId="10267DE2" w14:textId="1285B978" w:rsidR="00396721" w:rsidRPr="001B6B97" w:rsidRDefault="00396721" w:rsidP="005E2A42">
      <w:pPr>
        <w:spacing w:before="160" w:line="480" w:lineRule="auto"/>
        <w:jc w:val="center"/>
        <w:rPr>
          <w:b/>
          <w:bCs/>
        </w:rPr>
      </w:pPr>
      <w:r w:rsidRPr="001B6B97">
        <w:rPr>
          <w:b/>
          <w:bCs/>
        </w:rPr>
        <w:t xml:space="preserve">PART II: </w:t>
      </w:r>
      <w:r w:rsidR="005D0A26">
        <w:rPr>
          <w:b/>
          <w:bCs/>
        </w:rPr>
        <w:t>POINTS IN ISSUE</w:t>
      </w:r>
    </w:p>
    <w:p w14:paraId="7E997FEA" w14:textId="063F35D1" w:rsidR="00EB56E0" w:rsidRPr="00F12612" w:rsidRDefault="001B6B97" w:rsidP="008F57DD">
      <w:pPr>
        <w:pStyle w:val="ListParagraph"/>
        <w:numPr>
          <w:ilvl w:val="0"/>
          <w:numId w:val="1"/>
        </w:numPr>
        <w:spacing w:line="480" w:lineRule="auto"/>
        <w:ind w:left="0" w:firstLine="0"/>
        <w:jc w:val="both"/>
        <w:rPr>
          <w:lang w:eastAsia="en-US"/>
        </w:rPr>
      </w:pPr>
      <w:r w:rsidRPr="00F12612">
        <w:rPr>
          <w:lang w:eastAsia="en-US"/>
        </w:rPr>
        <w:t xml:space="preserve">This appeal </w:t>
      </w:r>
      <w:r w:rsidR="00BE15E3" w:rsidRPr="00F12612">
        <w:rPr>
          <w:lang w:eastAsia="en-US"/>
        </w:rPr>
        <w:t xml:space="preserve">raises </w:t>
      </w:r>
      <w:r w:rsidR="00EB56E0" w:rsidRPr="00F12612">
        <w:rPr>
          <w:lang w:eastAsia="en-US"/>
        </w:rPr>
        <w:t xml:space="preserve">the following </w:t>
      </w:r>
      <w:r w:rsidR="00BE15E3" w:rsidRPr="00F12612">
        <w:rPr>
          <w:lang w:eastAsia="en-US"/>
        </w:rPr>
        <w:t>issues</w:t>
      </w:r>
      <w:r w:rsidR="00EB56E0" w:rsidRPr="00F12612">
        <w:rPr>
          <w:lang w:eastAsia="en-US"/>
        </w:rPr>
        <w:t>:</w:t>
      </w:r>
    </w:p>
    <w:p w14:paraId="54461604" w14:textId="22401092" w:rsidR="00EB56E0" w:rsidRPr="00F12612" w:rsidRDefault="00BE15E3" w:rsidP="00F12612">
      <w:pPr>
        <w:pStyle w:val="ListParagraph"/>
        <w:numPr>
          <w:ilvl w:val="0"/>
          <w:numId w:val="16"/>
        </w:numPr>
        <w:spacing w:line="480" w:lineRule="auto"/>
        <w:ind w:left="1276" w:hanging="567"/>
        <w:jc w:val="both"/>
        <w:rPr>
          <w:lang w:eastAsia="en-US"/>
        </w:rPr>
      </w:pPr>
      <w:r w:rsidRPr="00F12612">
        <w:rPr>
          <w:lang w:eastAsia="en-US"/>
        </w:rPr>
        <w:t xml:space="preserve">Were the questions on appeal </w:t>
      </w:r>
      <w:r w:rsidR="001B6B97" w:rsidRPr="00F12612">
        <w:rPr>
          <w:lang w:eastAsia="en-US"/>
        </w:rPr>
        <w:t>properly certified by the Federal Court</w:t>
      </w:r>
      <w:r w:rsidR="00EB56E0" w:rsidRPr="00F12612">
        <w:rPr>
          <w:lang w:eastAsia="en-US"/>
        </w:rPr>
        <w:t>?</w:t>
      </w:r>
    </w:p>
    <w:p w14:paraId="46BB9291" w14:textId="21BE7BD7" w:rsidR="00BE15E3" w:rsidRPr="00F12612" w:rsidRDefault="00204714" w:rsidP="00F12612">
      <w:pPr>
        <w:pStyle w:val="ListParagraph"/>
        <w:numPr>
          <w:ilvl w:val="0"/>
          <w:numId w:val="16"/>
        </w:numPr>
        <w:spacing w:line="480" w:lineRule="auto"/>
        <w:ind w:left="1276" w:hanging="567"/>
        <w:jc w:val="both"/>
        <w:rPr>
          <w:lang w:eastAsia="en-US"/>
        </w:rPr>
      </w:pPr>
      <w:r w:rsidRPr="00F12612">
        <w:rPr>
          <w:lang w:eastAsia="en-US"/>
        </w:rPr>
        <w:t>D</w:t>
      </w:r>
      <w:r w:rsidRPr="00F12612">
        <w:rPr>
          <w:rFonts w:hint="eastAsia"/>
          <w:lang w:eastAsia="en-US"/>
        </w:rPr>
        <w:t>id</w:t>
      </w:r>
      <w:r w:rsidR="007D2102" w:rsidRPr="00F12612">
        <w:rPr>
          <w:lang w:eastAsia="en-US"/>
        </w:rPr>
        <w:t xml:space="preserve"> the Federal Court </w:t>
      </w:r>
      <w:r w:rsidRPr="00F12612">
        <w:rPr>
          <w:rFonts w:hint="eastAsia"/>
          <w:lang w:eastAsia="en-US"/>
        </w:rPr>
        <w:t>err</w:t>
      </w:r>
      <w:r w:rsidRPr="00F12612">
        <w:rPr>
          <w:lang w:eastAsia="en-US"/>
        </w:rPr>
        <w:t xml:space="preserve"> in finding </w:t>
      </w:r>
      <w:r w:rsidR="007D2102" w:rsidRPr="00F12612">
        <w:rPr>
          <w:lang w:eastAsia="en-US"/>
        </w:rPr>
        <w:t xml:space="preserve">that </w:t>
      </w:r>
      <w:r w:rsidR="00127D28" w:rsidRPr="00F12612">
        <w:rPr>
          <w:lang w:eastAsia="en-US"/>
        </w:rPr>
        <w:t xml:space="preserve">the BNP </w:t>
      </w:r>
      <w:r w:rsidR="007D2102" w:rsidRPr="00F12612">
        <w:rPr>
          <w:lang w:eastAsia="en-US"/>
        </w:rPr>
        <w:t xml:space="preserve">does not </w:t>
      </w:r>
      <w:r w:rsidR="00127D28" w:rsidRPr="00F12612">
        <w:rPr>
          <w:lang w:eastAsia="en-US"/>
        </w:rPr>
        <w:t>fall within s. 34(1)(b)?</w:t>
      </w:r>
    </w:p>
    <w:p w14:paraId="22062B05" w14:textId="4D54DBD5" w:rsidR="005D0A26" w:rsidRPr="00F12612" w:rsidRDefault="00CF40EE" w:rsidP="00F12612">
      <w:pPr>
        <w:pStyle w:val="ListParagraph"/>
        <w:numPr>
          <w:ilvl w:val="0"/>
          <w:numId w:val="16"/>
        </w:numPr>
        <w:spacing w:line="480" w:lineRule="auto"/>
        <w:ind w:left="1276" w:hanging="567"/>
        <w:jc w:val="both"/>
        <w:rPr>
          <w:lang w:eastAsia="en-US"/>
        </w:rPr>
      </w:pPr>
      <w:r w:rsidRPr="00F12612">
        <w:rPr>
          <w:lang w:eastAsia="en-US"/>
        </w:rPr>
        <w:t xml:space="preserve">Did the Federal Court err in finding that duress is a relevant consideration under </w:t>
      </w:r>
      <w:r w:rsidR="00270F48">
        <w:rPr>
          <w:lang w:eastAsia="en-US"/>
        </w:rPr>
        <w:t xml:space="preserve">s. </w:t>
      </w:r>
      <w:r w:rsidRPr="00F12612">
        <w:rPr>
          <w:lang w:eastAsia="en-US"/>
        </w:rPr>
        <w:t>34(1)(f) and to Mr. Chowdhury’s circumstances?</w:t>
      </w:r>
    </w:p>
    <w:p w14:paraId="5295B803" w14:textId="25D25097" w:rsidR="005D0A26" w:rsidRPr="00F12612" w:rsidRDefault="005D0A26" w:rsidP="00F12612">
      <w:pPr>
        <w:pStyle w:val="ListParagraph"/>
        <w:spacing w:before="160"/>
        <w:ind w:left="1418"/>
        <w:jc w:val="both"/>
        <w:rPr>
          <w:b/>
          <w:bCs/>
        </w:rPr>
      </w:pPr>
    </w:p>
    <w:p w14:paraId="3836B839" w14:textId="759F9F3B" w:rsidR="005D0A26" w:rsidRPr="00F12612" w:rsidRDefault="005D0A26" w:rsidP="00F12612">
      <w:pPr>
        <w:spacing w:line="480" w:lineRule="auto"/>
        <w:jc w:val="center"/>
        <w:rPr>
          <w:b/>
          <w:bCs/>
        </w:rPr>
      </w:pPr>
      <w:r w:rsidRPr="005D0A26">
        <w:rPr>
          <w:b/>
          <w:bCs/>
        </w:rPr>
        <w:t>PART II</w:t>
      </w:r>
      <w:r>
        <w:rPr>
          <w:b/>
          <w:bCs/>
        </w:rPr>
        <w:t>I</w:t>
      </w:r>
      <w:r w:rsidRPr="005D0A26">
        <w:rPr>
          <w:b/>
          <w:bCs/>
        </w:rPr>
        <w:t>: ARGUMENT</w:t>
      </w:r>
    </w:p>
    <w:p w14:paraId="4577A585" w14:textId="275A8058" w:rsidR="00EB56E0" w:rsidRPr="0017447A" w:rsidRDefault="00640E4D" w:rsidP="0017447A">
      <w:pPr>
        <w:pStyle w:val="ListParagraph"/>
        <w:numPr>
          <w:ilvl w:val="0"/>
          <w:numId w:val="27"/>
        </w:numPr>
        <w:spacing w:before="80" w:after="360"/>
        <w:ind w:left="426" w:hanging="426"/>
        <w:rPr>
          <w:b/>
          <w:bCs/>
          <w:u w:val="single"/>
        </w:rPr>
      </w:pPr>
      <w:r w:rsidRPr="00F77B16">
        <w:rPr>
          <w:b/>
          <w:bCs/>
          <w:u w:val="single"/>
        </w:rPr>
        <w:t xml:space="preserve">The </w:t>
      </w:r>
      <w:r w:rsidR="004F4D2B" w:rsidRPr="00F77B16">
        <w:rPr>
          <w:b/>
          <w:bCs/>
          <w:u w:val="single"/>
        </w:rPr>
        <w:t>q</w:t>
      </w:r>
      <w:r w:rsidRPr="00F77B16">
        <w:rPr>
          <w:b/>
          <w:bCs/>
          <w:u w:val="single"/>
        </w:rPr>
        <w:t xml:space="preserve">uestions </w:t>
      </w:r>
      <w:r w:rsidR="004F4D2B" w:rsidRPr="00F77B16">
        <w:rPr>
          <w:b/>
          <w:bCs/>
          <w:u w:val="single"/>
        </w:rPr>
        <w:t>w</w:t>
      </w:r>
      <w:r w:rsidR="00C83C6D" w:rsidRPr="00F77B16">
        <w:rPr>
          <w:b/>
          <w:bCs/>
          <w:u w:val="single"/>
        </w:rPr>
        <w:t xml:space="preserve">ere </w:t>
      </w:r>
      <w:r w:rsidR="004F4D2B" w:rsidRPr="00F77B16">
        <w:rPr>
          <w:b/>
          <w:bCs/>
          <w:u w:val="single"/>
        </w:rPr>
        <w:t>n</w:t>
      </w:r>
      <w:r w:rsidR="00C83C6D" w:rsidRPr="00F77B16">
        <w:rPr>
          <w:b/>
          <w:bCs/>
          <w:u w:val="single"/>
        </w:rPr>
        <w:t xml:space="preserve">ot </w:t>
      </w:r>
      <w:r w:rsidR="004F4D2B" w:rsidRPr="00F77B16">
        <w:rPr>
          <w:b/>
          <w:bCs/>
          <w:u w:val="single"/>
        </w:rPr>
        <w:t>p</w:t>
      </w:r>
      <w:r w:rsidR="00C83C6D" w:rsidRPr="00F77B16">
        <w:rPr>
          <w:b/>
          <w:bCs/>
          <w:u w:val="single"/>
        </w:rPr>
        <w:t>roperly</w:t>
      </w:r>
      <w:r w:rsidR="0077209B" w:rsidRPr="00F77B16">
        <w:rPr>
          <w:b/>
          <w:bCs/>
          <w:u w:val="single"/>
        </w:rPr>
        <w:t xml:space="preserve"> </w:t>
      </w:r>
      <w:r w:rsidR="004F4D2B" w:rsidRPr="00F77B16">
        <w:rPr>
          <w:b/>
          <w:bCs/>
          <w:u w:val="single"/>
        </w:rPr>
        <w:t>c</w:t>
      </w:r>
      <w:r w:rsidRPr="00F77B16">
        <w:rPr>
          <w:b/>
          <w:bCs/>
          <w:u w:val="single"/>
        </w:rPr>
        <w:t>ertified</w:t>
      </w:r>
    </w:p>
    <w:p w14:paraId="55FA816A" w14:textId="77777777" w:rsidR="00F77B16" w:rsidRPr="00EB56E0" w:rsidRDefault="00F77B16" w:rsidP="00F77B16">
      <w:pPr>
        <w:pStyle w:val="ListParagraph"/>
        <w:spacing w:before="80" w:after="360"/>
        <w:rPr>
          <w:lang w:eastAsia="en-US"/>
        </w:rPr>
      </w:pPr>
    </w:p>
    <w:p w14:paraId="7FA48405" w14:textId="71632B7A" w:rsidR="00C22DCA" w:rsidRDefault="00450FFB" w:rsidP="00EB56E0">
      <w:pPr>
        <w:pStyle w:val="ListParagraph"/>
        <w:numPr>
          <w:ilvl w:val="0"/>
          <w:numId w:val="1"/>
        </w:numPr>
        <w:spacing w:line="480" w:lineRule="auto"/>
        <w:ind w:left="0" w:firstLine="0"/>
        <w:jc w:val="both"/>
        <w:rPr>
          <w:lang w:eastAsia="en-US"/>
        </w:rPr>
      </w:pPr>
      <w:r>
        <w:rPr>
          <w:lang w:eastAsia="en-US"/>
        </w:rPr>
        <w:t>Justice Ja</w:t>
      </w:r>
      <w:r w:rsidR="007152B4">
        <w:rPr>
          <w:lang w:eastAsia="en-US"/>
        </w:rPr>
        <w:t>gg</w:t>
      </w:r>
      <w:r w:rsidR="00270A6B">
        <w:rPr>
          <w:lang w:eastAsia="en-US"/>
        </w:rPr>
        <w:t>e</w:t>
      </w:r>
      <w:r>
        <w:rPr>
          <w:lang w:eastAsia="en-US"/>
        </w:rPr>
        <w:t xml:space="preserve">r certified two questions. </w:t>
      </w:r>
      <w:r w:rsidR="00964B30">
        <w:rPr>
          <w:lang w:eastAsia="en-US"/>
        </w:rPr>
        <w:t>N</w:t>
      </w:r>
      <w:r w:rsidR="00C22DCA" w:rsidRPr="00B65B78">
        <w:rPr>
          <w:lang w:eastAsia="en-US"/>
        </w:rPr>
        <w:t xml:space="preserve">either of the questions </w:t>
      </w:r>
      <w:r>
        <w:rPr>
          <w:lang w:eastAsia="en-US"/>
        </w:rPr>
        <w:t>were properly</w:t>
      </w:r>
      <w:r w:rsidR="00C22DCA" w:rsidRPr="00B65B78">
        <w:rPr>
          <w:lang w:eastAsia="en-US"/>
        </w:rPr>
        <w:t xml:space="preserve"> certified.</w:t>
      </w:r>
      <w:r w:rsidR="00EB0259">
        <w:rPr>
          <w:lang w:eastAsia="en-US"/>
        </w:rPr>
        <w:t xml:space="preserve"> Question (</w:t>
      </w:r>
      <w:r w:rsidR="00BB1A6E">
        <w:rPr>
          <w:lang w:eastAsia="en-US"/>
        </w:rPr>
        <w:t>1</w:t>
      </w:r>
      <w:r w:rsidR="00EB0259">
        <w:rPr>
          <w:lang w:eastAsia="en-US"/>
        </w:rPr>
        <w:t xml:space="preserve">) </w:t>
      </w:r>
      <w:r w:rsidR="00615428">
        <w:rPr>
          <w:lang w:eastAsia="en-US"/>
        </w:rPr>
        <w:t xml:space="preserve">is </w:t>
      </w:r>
      <w:r w:rsidR="005E6233">
        <w:rPr>
          <w:lang w:eastAsia="en-US"/>
        </w:rPr>
        <w:t>not dispositive of the case</w:t>
      </w:r>
      <w:r w:rsidR="00AA7A77" w:rsidRPr="00CF251F">
        <w:rPr>
          <w:lang w:eastAsia="en-US"/>
        </w:rPr>
        <w:t>.</w:t>
      </w:r>
      <w:r w:rsidR="00964B30" w:rsidRPr="00CF251F">
        <w:rPr>
          <w:lang w:eastAsia="en-US"/>
        </w:rPr>
        <w:t xml:space="preserve"> </w:t>
      </w:r>
      <w:r w:rsidR="00AA7A77">
        <w:rPr>
          <w:lang w:eastAsia="en-US"/>
        </w:rPr>
        <w:t>Q</w:t>
      </w:r>
      <w:r w:rsidR="00615428">
        <w:rPr>
          <w:lang w:eastAsia="en-US"/>
        </w:rPr>
        <w:t>uestion (</w:t>
      </w:r>
      <w:r w:rsidR="00BB1A6E">
        <w:rPr>
          <w:lang w:eastAsia="en-US"/>
        </w:rPr>
        <w:t>2</w:t>
      </w:r>
      <w:r w:rsidR="00615428">
        <w:rPr>
          <w:lang w:eastAsia="en-US"/>
        </w:rPr>
        <w:t>) raises an issue</w:t>
      </w:r>
      <w:r w:rsidR="003A385A">
        <w:rPr>
          <w:lang w:eastAsia="en-US"/>
        </w:rPr>
        <w:t xml:space="preserve"> </w:t>
      </w:r>
      <w:r w:rsidR="003A385A">
        <w:rPr>
          <w:rFonts w:hint="eastAsia"/>
        </w:rPr>
        <w:t>of</w:t>
      </w:r>
      <w:r w:rsidR="003A385A">
        <w:t xml:space="preserve"> settled law</w:t>
      </w:r>
      <w:r w:rsidR="003A385A">
        <w:rPr>
          <w:lang w:eastAsia="en-US"/>
        </w:rPr>
        <w:t>.</w:t>
      </w:r>
    </w:p>
    <w:p w14:paraId="1B6C2883" w14:textId="2D3CDCFD" w:rsidR="00615428" w:rsidRPr="00615428" w:rsidRDefault="00615428" w:rsidP="00EB56E0">
      <w:pPr>
        <w:pStyle w:val="ListParagraph"/>
        <w:numPr>
          <w:ilvl w:val="0"/>
          <w:numId w:val="1"/>
        </w:numPr>
        <w:spacing w:line="480" w:lineRule="auto"/>
        <w:ind w:left="0" w:firstLine="0"/>
        <w:jc w:val="both"/>
        <w:rPr>
          <w:lang w:eastAsia="en-US"/>
        </w:rPr>
      </w:pPr>
      <w:r>
        <w:rPr>
          <w:lang w:eastAsia="en-US"/>
        </w:rPr>
        <w:t xml:space="preserve">An appeal to this Court is governed by </w:t>
      </w:r>
      <w:r w:rsidR="00E41CBE">
        <w:rPr>
          <w:lang w:eastAsia="en-US"/>
        </w:rPr>
        <w:t>s.</w:t>
      </w:r>
      <w:r w:rsidR="00E41CBE" w:rsidRPr="00615428">
        <w:rPr>
          <w:lang w:eastAsia="en-US"/>
        </w:rPr>
        <w:t xml:space="preserve"> </w:t>
      </w:r>
      <w:r w:rsidRPr="00615428">
        <w:rPr>
          <w:lang w:eastAsia="en-US"/>
        </w:rPr>
        <w:t>74</w:t>
      </w:r>
      <w:r w:rsidR="002A3411">
        <w:rPr>
          <w:lang w:eastAsia="en-US"/>
        </w:rPr>
        <w:t>(d)</w:t>
      </w:r>
      <w:r w:rsidRPr="00615428">
        <w:rPr>
          <w:lang w:eastAsia="en-US"/>
        </w:rPr>
        <w:t xml:space="preserve"> </w:t>
      </w:r>
      <w:r w:rsidR="003A385A">
        <w:rPr>
          <w:lang w:eastAsia="en-US"/>
        </w:rPr>
        <w:t xml:space="preserve">of the </w:t>
      </w:r>
      <w:r w:rsidR="007B2266" w:rsidRPr="006605CA">
        <w:rPr>
          <w:rFonts w:asciiTheme="majorBidi" w:hAnsiTheme="majorBidi" w:cstheme="majorBidi"/>
          <w:i/>
          <w:iCs/>
        </w:rPr>
        <w:t>Immigration and Refugee Protection Act</w:t>
      </w:r>
      <w:r w:rsidR="007B2266" w:rsidRPr="006605CA">
        <w:rPr>
          <w:rFonts w:asciiTheme="majorBidi" w:hAnsiTheme="majorBidi" w:cstheme="majorBidi"/>
        </w:rPr>
        <w:t>, SC 2001, c 27</w:t>
      </w:r>
      <w:r w:rsidR="007B2266">
        <w:rPr>
          <w:rFonts w:asciiTheme="majorBidi" w:hAnsiTheme="majorBidi" w:cstheme="majorBidi"/>
        </w:rPr>
        <w:t xml:space="preserve"> (“</w:t>
      </w:r>
      <w:r w:rsidR="003A385A" w:rsidRPr="00AA7A77">
        <w:rPr>
          <w:i/>
          <w:iCs/>
          <w:lang w:eastAsia="en-US"/>
        </w:rPr>
        <w:t>IRPA</w:t>
      </w:r>
      <w:r w:rsidR="007B2266">
        <w:rPr>
          <w:lang w:eastAsia="en-US"/>
        </w:rPr>
        <w:t>”)</w:t>
      </w:r>
      <w:r w:rsidR="003A385A">
        <w:rPr>
          <w:lang w:eastAsia="en-US"/>
        </w:rPr>
        <w:t xml:space="preserve">, which </w:t>
      </w:r>
      <w:r w:rsidRPr="00615428">
        <w:rPr>
          <w:lang w:eastAsia="en-US"/>
        </w:rPr>
        <w:t xml:space="preserve">provides that an appeal on an immigration matter can only be made by way of </w:t>
      </w:r>
      <w:r w:rsidR="00BE3AFF">
        <w:rPr>
          <w:lang w:eastAsia="en-US"/>
        </w:rPr>
        <w:t xml:space="preserve">a </w:t>
      </w:r>
      <w:r w:rsidRPr="00615428">
        <w:rPr>
          <w:lang w:eastAsia="en-US"/>
        </w:rPr>
        <w:t>certified question:</w:t>
      </w:r>
    </w:p>
    <w:p w14:paraId="29AD760F" w14:textId="27329271" w:rsidR="00185DA2" w:rsidRDefault="00615428" w:rsidP="002373DC">
      <w:pPr>
        <w:pStyle w:val="ListParagraph"/>
        <w:ind w:left="1134" w:hanging="425"/>
        <w:jc w:val="both"/>
      </w:pPr>
      <w:r w:rsidRPr="00185DA2">
        <w:rPr>
          <w:b/>
          <w:bCs/>
        </w:rPr>
        <w:t>74</w:t>
      </w:r>
      <w:r w:rsidR="00185DA2">
        <w:tab/>
      </w:r>
      <w:r w:rsidRPr="00615428">
        <w:t xml:space="preserve">Judicial review is subject to the following provisions: </w:t>
      </w:r>
    </w:p>
    <w:p w14:paraId="20CD3B4C" w14:textId="5E0C7B79" w:rsidR="00FE3CCA" w:rsidRDefault="00615428" w:rsidP="007B2266">
      <w:pPr>
        <w:pStyle w:val="ListParagraph"/>
        <w:ind w:left="1134"/>
        <w:jc w:val="both"/>
      </w:pPr>
      <w:r w:rsidRPr="00185DA2">
        <w:rPr>
          <w:b/>
          <w:bCs/>
        </w:rPr>
        <w:t>(d)</w:t>
      </w:r>
      <w:r w:rsidR="00185DA2">
        <w:tab/>
      </w:r>
      <w:r w:rsidR="00E41CBE">
        <w:t xml:space="preserve"> </w:t>
      </w:r>
      <w:r w:rsidRPr="00185DA2">
        <w:t xml:space="preserve">subject to section 87.01, an appeal to the Federal Court of Appeal may be made only if, in rendering judgment, the judge certifies that </w:t>
      </w:r>
      <w:r w:rsidRPr="00185DA2">
        <w:rPr>
          <w:u w:val="single"/>
        </w:rPr>
        <w:t>a serious question of general importance</w:t>
      </w:r>
      <w:r w:rsidRPr="00185DA2">
        <w:t xml:space="preserve"> is involved and states the question.</w:t>
      </w:r>
      <w:r w:rsidR="002A3411" w:rsidRPr="00185DA2">
        <w:t xml:space="preserve"> [</w:t>
      </w:r>
      <w:r w:rsidR="002A3411" w:rsidRPr="00275E65">
        <w:t>Emphasis added</w:t>
      </w:r>
      <w:r w:rsidR="002A3411" w:rsidRPr="00185DA2">
        <w:t>]</w:t>
      </w:r>
    </w:p>
    <w:p w14:paraId="1FE9C878" w14:textId="77777777" w:rsidR="007B2266" w:rsidRDefault="007B2266" w:rsidP="007B2266">
      <w:pPr>
        <w:pStyle w:val="ListParagraph"/>
        <w:ind w:left="1134"/>
        <w:jc w:val="both"/>
      </w:pPr>
    </w:p>
    <w:p w14:paraId="021A580C" w14:textId="0586F53B" w:rsidR="002A3411" w:rsidRDefault="002A3411" w:rsidP="00EB56E0">
      <w:pPr>
        <w:pStyle w:val="ListParagraph"/>
        <w:numPr>
          <w:ilvl w:val="0"/>
          <w:numId w:val="1"/>
        </w:numPr>
        <w:spacing w:line="480" w:lineRule="auto"/>
        <w:ind w:left="0" w:firstLine="0"/>
        <w:jc w:val="both"/>
        <w:rPr>
          <w:lang w:eastAsia="en-US"/>
        </w:rPr>
      </w:pPr>
      <w:r w:rsidRPr="002A3411">
        <w:rPr>
          <w:lang w:eastAsia="en-US"/>
        </w:rPr>
        <w:t>The F</w:t>
      </w:r>
      <w:r>
        <w:rPr>
          <w:lang w:eastAsia="en-US"/>
        </w:rPr>
        <w:t xml:space="preserve">ederal </w:t>
      </w:r>
      <w:r w:rsidRPr="002A3411">
        <w:rPr>
          <w:lang w:eastAsia="en-US"/>
        </w:rPr>
        <w:t>C</w:t>
      </w:r>
      <w:r>
        <w:rPr>
          <w:lang w:eastAsia="en-US"/>
        </w:rPr>
        <w:t xml:space="preserve">ourt of </w:t>
      </w:r>
      <w:r w:rsidRPr="002A3411">
        <w:rPr>
          <w:lang w:eastAsia="en-US"/>
        </w:rPr>
        <w:t>A</w:t>
      </w:r>
      <w:r>
        <w:rPr>
          <w:lang w:eastAsia="en-US"/>
        </w:rPr>
        <w:t>ppeal</w:t>
      </w:r>
      <w:r w:rsidR="00CF251F">
        <w:rPr>
          <w:lang w:eastAsia="en-US"/>
        </w:rPr>
        <w:t xml:space="preserve"> </w:t>
      </w:r>
      <w:r w:rsidRPr="002A3411">
        <w:rPr>
          <w:lang w:eastAsia="en-US"/>
        </w:rPr>
        <w:t>and F</w:t>
      </w:r>
      <w:r>
        <w:rPr>
          <w:lang w:eastAsia="en-US"/>
        </w:rPr>
        <w:t xml:space="preserve">ederal </w:t>
      </w:r>
      <w:r w:rsidRPr="002A3411">
        <w:rPr>
          <w:lang w:eastAsia="en-US"/>
        </w:rPr>
        <w:t>C</w:t>
      </w:r>
      <w:r>
        <w:rPr>
          <w:lang w:eastAsia="en-US"/>
        </w:rPr>
        <w:t>ourt</w:t>
      </w:r>
      <w:r w:rsidR="00CF251F">
        <w:rPr>
          <w:lang w:eastAsia="en-US"/>
        </w:rPr>
        <w:t xml:space="preserve"> </w:t>
      </w:r>
      <w:r w:rsidRPr="002A3411">
        <w:rPr>
          <w:lang w:eastAsia="en-US"/>
        </w:rPr>
        <w:t>ha</w:t>
      </w:r>
      <w:r w:rsidR="00BE3AFF">
        <w:rPr>
          <w:lang w:eastAsia="en-US"/>
        </w:rPr>
        <w:t>ve</w:t>
      </w:r>
      <w:r w:rsidRPr="002A3411">
        <w:rPr>
          <w:lang w:eastAsia="en-US"/>
        </w:rPr>
        <w:t xml:space="preserve"> interpreted </w:t>
      </w:r>
      <w:r w:rsidR="00CF251F">
        <w:rPr>
          <w:lang w:eastAsia="en-US"/>
        </w:rPr>
        <w:t xml:space="preserve">the </w:t>
      </w:r>
      <w:r w:rsidR="00EA56C7">
        <w:rPr>
          <w:lang w:eastAsia="en-US"/>
        </w:rPr>
        <w:t xml:space="preserve">s. 74(d) </w:t>
      </w:r>
      <w:r w:rsidRPr="002A3411">
        <w:rPr>
          <w:lang w:eastAsia="en-US"/>
        </w:rPr>
        <w:t xml:space="preserve">requirement </w:t>
      </w:r>
      <w:r w:rsidR="006D40A7">
        <w:rPr>
          <w:lang w:eastAsia="en-US"/>
        </w:rPr>
        <w:t>on multiple occasions</w:t>
      </w:r>
      <w:r w:rsidR="00A01BBE">
        <w:rPr>
          <w:lang w:eastAsia="en-US"/>
        </w:rPr>
        <w:t>. T</w:t>
      </w:r>
      <w:r w:rsidRPr="002A3411">
        <w:rPr>
          <w:lang w:eastAsia="en-US"/>
        </w:rPr>
        <w:t>he threshold for certifying a question is now settled law</w:t>
      </w:r>
      <w:r w:rsidR="00BE3AFF">
        <w:rPr>
          <w:lang w:eastAsia="en-US"/>
        </w:rPr>
        <w:t>.</w:t>
      </w:r>
      <w:r w:rsidRPr="002A3411">
        <w:rPr>
          <w:lang w:eastAsia="en-US"/>
        </w:rPr>
        <w:t xml:space="preserve"> The question must be a serious question that is dispositive of the appeal, transcends the interests of the parties and raises an issue of broad significance or general importance.</w:t>
      </w:r>
    </w:p>
    <w:p w14:paraId="5831E2D2" w14:textId="120D71A9" w:rsidR="00564847" w:rsidRDefault="002A3411" w:rsidP="00564847">
      <w:pPr>
        <w:pStyle w:val="ListParagraph"/>
        <w:rPr>
          <w:rFonts w:asciiTheme="majorBidi" w:hAnsiTheme="majorBidi" w:cstheme="majorBidi"/>
        </w:rPr>
      </w:pPr>
      <w:r w:rsidRPr="002A3411">
        <w:rPr>
          <w:rFonts w:asciiTheme="majorBidi" w:hAnsiTheme="majorBidi" w:cstheme="majorBidi"/>
          <w:i/>
          <w:iCs/>
        </w:rPr>
        <w:t>Lunyamila v Canada (Public Safety and Emergency Preparedness</w:t>
      </w:r>
      <w:r w:rsidRPr="002A3411">
        <w:rPr>
          <w:rFonts w:asciiTheme="majorBidi" w:hAnsiTheme="majorBidi" w:cstheme="majorBidi"/>
        </w:rPr>
        <w:t>), 2018 F</w:t>
      </w:r>
      <w:r w:rsidR="007D7E96">
        <w:rPr>
          <w:rFonts w:asciiTheme="majorBidi" w:hAnsiTheme="majorBidi" w:cstheme="majorBidi"/>
        </w:rPr>
        <w:t>CA</w:t>
      </w:r>
      <w:r w:rsidRPr="002A3411">
        <w:rPr>
          <w:rFonts w:asciiTheme="majorBidi" w:hAnsiTheme="majorBidi" w:cstheme="majorBidi"/>
        </w:rPr>
        <w:t xml:space="preserve"> 22</w:t>
      </w:r>
      <w:r w:rsidRPr="002A3411">
        <w:rPr>
          <w:rFonts w:asciiTheme="majorBidi" w:hAnsiTheme="majorBidi" w:cstheme="majorBidi"/>
          <w:i/>
          <w:iCs/>
        </w:rPr>
        <w:t xml:space="preserve"> </w:t>
      </w:r>
      <w:r w:rsidRPr="002A3411">
        <w:rPr>
          <w:rFonts w:asciiTheme="majorBidi" w:hAnsiTheme="majorBidi" w:cstheme="majorBidi"/>
        </w:rPr>
        <w:t>at para 46.</w:t>
      </w:r>
    </w:p>
    <w:p w14:paraId="28CE257B" w14:textId="77777777" w:rsidR="005436EE" w:rsidRPr="00564847" w:rsidRDefault="005436EE" w:rsidP="00564847">
      <w:pPr>
        <w:pStyle w:val="ListParagraph"/>
        <w:rPr>
          <w:rFonts w:asciiTheme="majorBidi" w:hAnsiTheme="majorBidi" w:cstheme="majorBidi"/>
        </w:rPr>
      </w:pPr>
    </w:p>
    <w:p w14:paraId="01986119" w14:textId="0948D716" w:rsidR="00745CBA" w:rsidRDefault="00CC45AD" w:rsidP="005436EE">
      <w:pPr>
        <w:pStyle w:val="ListParagraph"/>
        <w:numPr>
          <w:ilvl w:val="0"/>
          <w:numId w:val="20"/>
        </w:numPr>
        <w:rPr>
          <w:b/>
          <w:bCs/>
          <w:i/>
          <w:iCs/>
        </w:rPr>
      </w:pPr>
      <w:r w:rsidRPr="00CC45AD">
        <w:rPr>
          <w:b/>
          <w:bCs/>
          <w:i/>
          <w:iCs/>
        </w:rPr>
        <w:t xml:space="preserve">Question (1) </w:t>
      </w:r>
      <w:r w:rsidR="007D7E96">
        <w:rPr>
          <w:b/>
          <w:bCs/>
          <w:i/>
          <w:iCs/>
        </w:rPr>
        <w:t>was not properly</w:t>
      </w:r>
      <w:r w:rsidRPr="00CC45AD">
        <w:rPr>
          <w:b/>
          <w:bCs/>
          <w:i/>
          <w:iCs/>
        </w:rPr>
        <w:t xml:space="preserve"> certified</w:t>
      </w:r>
      <w:r w:rsidR="005E6233">
        <w:rPr>
          <w:b/>
          <w:bCs/>
          <w:i/>
          <w:iCs/>
        </w:rPr>
        <w:t xml:space="preserve"> because it is not dispositive of the appeal</w:t>
      </w:r>
    </w:p>
    <w:p w14:paraId="6D51FE44" w14:textId="77777777" w:rsidR="005436EE" w:rsidRPr="00CC45AD" w:rsidRDefault="005436EE" w:rsidP="005436EE">
      <w:pPr>
        <w:pStyle w:val="ListParagraph"/>
        <w:rPr>
          <w:b/>
          <w:bCs/>
          <w:i/>
          <w:iCs/>
        </w:rPr>
      </w:pPr>
    </w:p>
    <w:p w14:paraId="3ED1B4C1" w14:textId="4E6F4183" w:rsidR="007D7E96" w:rsidRDefault="007D7E96" w:rsidP="00EB56E0">
      <w:pPr>
        <w:pStyle w:val="ListParagraph"/>
        <w:numPr>
          <w:ilvl w:val="0"/>
          <w:numId w:val="1"/>
        </w:numPr>
        <w:spacing w:line="480" w:lineRule="auto"/>
        <w:ind w:left="0" w:firstLine="0"/>
        <w:jc w:val="both"/>
        <w:rPr>
          <w:lang w:eastAsia="en-US"/>
        </w:rPr>
      </w:pPr>
      <w:r>
        <w:rPr>
          <w:lang w:eastAsia="en-US"/>
        </w:rPr>
        <w:t>Justice Jag</w:t>
      </w:r>
      <w:r w:rsidR="00FC3AE8">
        <w:rPr>
          <w:lang w:eastAsia="en-US"/>
        </w:rPr>
        <w:t>g</w:t>
      </w:r>
      <w:r w:rsidR="00270A6B">
        <w:rPr>
          <w:lang w:eastAsia="en-US"/>
        </w:rPr>
        <w:t>e</w:t>
      </w:r>
      <w:r>
        <w:rPr>
          <w:lang w:eastAsia="en-US"/>
        </w:rPr>
        <w:t xml:space="preserve">r certified the first question as </w:t>
      </w:r>
      <w:r w:rsidR="00964B30">
        <w:rPr>
          <w:lang w:eastAsia="en-US"/>
        </w:rPr>
        <w:t>follows</w:t>
      </w:r>
      <w:r>
        <w:rPr>
          <w:lang w:eastAsia="en-US"/>
        </w:rPr>
        <w:t>:</w:t>
      </w:r>
    </w:p>
    <w:p w14:paraId="629FCDE1" w14:textId="50661BDD" w:rsidR="007D7E96" w:rsidRDefault="007D7E96" w:rsidP="005436EE">
      <w:pPr>
        <w:pStyle w:val="ListParagraph"/>
        <w:ind w:left="1134" w:hanging="425"/>
        <w:jc w:val="both"/>
        <w:rPr>
          <w:lang w:eastAsia="en-US"/>
        </w:rPr>
      </w:pPr>
      <w:r>
        <w:t>(1)</w:t>
      </w:r>
      <w:r>
        <w:tab/>
      </w:r>
      <w:r w:rsidRPr="00EB56E0">
        <w:t xml:space="preserve">Can an organization that performs a legitimate democratic function as a political party fall within the scope of paragraph 34(1)(b) of the </w:t>
      </w:r>
      <w:r w:rsidRPr="00275E65">
        <w:rPr>
          <w:i/>
          <w:iCs/>
        </w:rPr>
        <w:t>IRPA</w:t>
      </w:r>
      <w:r w:rsidRPr="00EB56E0">
        <w:t xml:space="preserve"> as an organization for which there are reasonable grounds to believe is engaging in or instigating the subversion by force of any government?</w:t>
      </w:r>
    </w:p>
    <w:p w14:paraId="7847C76C" w14:textId="77777777" w:rsidR="007D7E96" w:rsidRDefault="007D7E96" w:rsidP="001641F4">
      <w:pPr>
        <w:pStyle w:val="ListParagraph"/>
        <w:jc w:val="both"/>
        <w:rPr>
          <w:lang w:eastAsia="en-US"/>
        </w:rPr>
      </w:pPr>
    </w:p>
    <w:p w14:paraId="5EB9CF63" w14:textId="2ECEF7EB" w:rsidR="00A17145" w:rsidRPr="00BB1A6E" w:rsidRDefault="005E6233" w:rsidP="00A17145">
      <w:pPr>
        <w:pStyle w:val="ListParagraph"/>
        <w:numPr>
          <w:ilvl w:val="0"/>
          <w:numId w:val="1"/>
        </w:numPr>
        <w:spacing w:line="480" w:lineRule="auto"/>
        <w:ind w:left="0" w:firstLine="0"/>
        <w:jc w:val="both"/>
        <w:rPr>
          <w:lang w:eastAsia="en-US"/>
        </w:rPr>
      </w:pPr>
      <w:r>
        <w:rPr>
          <w:lang w:eastAsia="en-US"/>
        </w:rPr>
        <w:t xml:space="preserve">This question does not capture the facts </w:t>
      </w:r>
      <w:r w:rsidR="00270A6B">
        <w:rPr>
          <w:lang w:eastAsia="en-US"/>
        </w:rPr>
        <w:t xml:space="preserve">that are </w:t>
      </w:r>
      <w:r>
        <w:rPr>
          <w:lang w:eastAsia="en-US"/>
        </w:rPr>
        <w:t xml:space="preserve">dispositive of the </w:t>
      </w:r>
      <w:r w:rsidR="00AD189A">
        <w:rPr>
          <w:lang w:eastAsia="en-US"/>
        </w:rPr>
        <w:t>issue</w:t>
      </w:r>
      <w:r>
        <w:rPr>
          <w:lang w:eastAsia="en-US"/>
        </w:rPr>
        <w:t xml:space="preserve">. </w:t>
      </w:r>
      <w:r w:rsidR="0047365B">
        <w:rPr>
          <w:lang w:eastAsia="en-US"/>
        </w:rPr>
        <w:t xml:space="preserve">In </w:t>
      </w:r>
      <w:r w:rsidR="0047365B" w:rsidRPr="00A17145">
        <w:rPr>
          <w:i/>
          <w:iCs/>
          <w:lang w:eastAsia="en-US"/>
        </w:rPr>
        <w:t>Alam</w:t>
      </w:r>
      <w:r w:rsidR="0047365B">
        <w:rPr>
          <w:lang w:eastAsia="en-US"/>
        </w:rPr>
        <w:t xml:space="preserve">, </w:t>
      </w:r>
      <w:r w:rsidR="00A17145">
        <w:rPr>
          <w:lang w:eastAsia="en-US"/>
        </w:rPr>
        <w:t xml:space="preserve">a </w:t>
      </w:r>
      <w:r w:rsidR="00A17145">
        <w:rPr>
          <w:rFonts w:hint="eastAsia"/>
        </w:rPr>
        <w:t>contested</w:t>
      </w:r>
      <w:r w:rsidR="00A17145">
        <w:rPr>
          <w:lang w:eastAsia="en-US"/>
        </w:rPr>
        <w:t xml:space="preserve"> issue </w:t>
      </w:r>
      <w:r w:rsidR="0088667D">
        <w:rPr>
          <w:lang w:eastAsia="en-US"/>
        </w:rPr>
        <w:t>wa</w:t>
      </w:r>
      <w:r w:rsidR="00A17145">
        <w:rPr>
          <w:lang w:eastAsia="en-US"/>
        </w:rPr>
        <w:t xml:space="preserve">s </w:t>
      </w:r>
      <w:r w:rsidR="0047365B">
        <w:rPr>
          <w:rFonts w:hint="eastAsia"/>
        </w:rPr>
        <w:t>w</w:t>
      </w:r>
      <w:r w:rsidR="00061A5D">
        <w:rPr>
          <w:lang w:eastAsia="en-US"/>
        </w:rPr>
        <w:t xml:space="preserve">hether the </w:t>
      </w:r>
      <w:r w:rsidR="00993E1B">
        <w:rPr>
          <w:lang w:eastAsia="en-US"/>
        </w:rPr>
        <w:t xml:space="preserve">factual findings could establish that the </w:t>
      </w:r>
      <w:r w:rsidR="00061A5D">
        <w:rPr>
          <w:lang w:eastAsia="en-US"/>
        </w:rPr>
        <w:t xml:space="preserve">BNP </w:t>
      </w:r>
      <w:r w:rsidR="0047365B" w:rsidRPr="0088667D">
        <w:rPr>
          <w:lang w:eastAsia="en-US"/>
        </w:rPr>
        <w:t>had the intention</w:t>
      </w:r>
      <w:r w:rsidR="00061A5D" w:rsidRPr="0088667D">
        <w:rPr>
          <w:lang w:eastAsia="en-US"/>
        </w:rPr>
        <w:t xml:space="preserve"> to use violence</w:t>
      </w:r>
      <w:r w:rsidR="00061A5D">
        <w:rPr>
          <w:lang w:eastAsia="en-US"/>
        </w:rPr>
        <w:t xml:space="preserve"> </w:t>
      </w:r>
      <w:r w:rsidR="0047365B">
        <w:rPr>
          <w:lang w:eastAsia="en-US"/>
        </w:rPr>
        <w:t>to achieve its goals</w:t>
      </w:r>
      <w:r w:rsidR="00A17145">
        <w:rPr>
          <w:lang w:eastAsia="en-US"/>
        </w:rPr>
        <w:t>.</w:t>
      </w:r>
      <w:r w:rsidR="00061A5D">
        <w:rPr>
          <w:lang w:eastAsia="en-US"/>
        </w:rPr>
        <w:t xml:space="preserve"> </w:t>
      </w:r>
      <w:r w:rsidR="0088667D">
        <w:rPr>
          <w:lang w:eastAsia="en-US"/>
        </w:rPr>
        <w:t xml:space="preserve">The issue was dispositive in determining whether the offiicer reasonably concluded that the BNP enaged in acts of terrorism. </w:t>
      </w:r>
      <w:r w:rsidR="0047365B" w:rsidRPr="00BB1A6E">
        <w:rPr>
          <w:lang w:eastAsia="en-US"/>
        </w:rPr>
        <w:t>Justice Fothergill</w:t>
      </w:r>
      <w:r w:rsidR="0047365B">
        <w:rPr>
          <w:lang w:eastAsia="en-US"/>
        </w:rPr>
        <w:t xml:space="preserve"> </w:t>
      </w:r>
      <w:r w:rsidR="00AA7A77">
        <w:rPr>
          <w:lang w:eastAsia="en-US"/>
        </w:rPr>
        <w:t>declined to certify a proposed question</w:t>
      </w:r>
      <w:r w:rsidR="00A17145">
        <w:rPr>
          <w:lang w:eastAsia="en-US"/>
        </w:rPr>
        <w:t>,</w:t>
      </w:r>
      <w:r w:rsidR="00AA7A77">
        <w:rPr>
          <w:lang w:eastAsia="en-US"/>
        </w:rPr>
        <w:t xml:space="preserve"> because it</w:t>
      </w:r>
      <w:r w:rsidR="0047365B">
        <w:rPr>
          <w:lang w:eastAsia="en-US"/>
        </w:rPr>
        <w:t xml:space="preserve"> omit</w:t>
      </w:r>
      <w:r w:rsidR="00CF251F">
        <w:rPr>
          <w:lang w:eastAsia="en-US"/>
        </w:rPr>
        <w:t>ed</w:t>
      </w:r>
      <w:r w:rsidR="0047365B">
        <w:rPr>
          <w:lang w:eastAsia="en-US"/>
        </w:rPr>
        <w:t xml:space="preserve"> any reference to violence and therefore d</w:t>
      </w:r>
      <w:r w:rsidR="00CF251F">
        <w:rPr>
          <w:lang w:eastAsia="en-US"/>
        </w:rPr>
        <w:t>id</w:t>
      </w:r>
      <w:r w:rsidR="0047365B">
        <w:rPr>
          <w:lang w:eastAsia="en-US"/>
        </w:rPr>
        <w:t xml:space="preserve"> not capture the facts dispositive of the </w:t>
      </w:r>
      <w:r w:rsidR="00AD189A">
        <w:rPr>
          <w:lang w:eastAsia="en-US"/>
        </w:rPr>
        <w:t>issue</w:t>
      </w:r>
      <w:r w:rsidR="0047365B">
        <w:rPr>
          <w:lang w:eastAsia="en-US"/>
        </w:rPr>
        <w:t>.</w:t>
      </w:r>
      <w:r w:rsidR="00A17145">
        <w:rPr>
          <w:lang w:eastAsia="en-US"/>
        </w:rPr>
        <w:t xml:space="preserve"> </w:t>
      </w:r>
      <w:r w:rsidR="00A17145">
        <w:t xml:space="preserve">The </w:t>
      </w:r>
      <w:r w:rsidR="00AD189A">
        <w:t xml:space="preserve">proposed certified </w:t>
      </w:r>
      <w:r w:rsidR="00A17145">
        <w:t xml:space="preserve">question </w:t>
      </w:r>
      <w:r w:rsidR="00AD189A">
        <w:t xml:space="preserve">in </w:t>
      </w:r>
      <w:r w:rsidR="00AD189A" w:rsidRPr="008D6C66">
        <w:t>Alam</w:t>
      </w:r>
      <w:r w:rsidR="00AD189A">
        <w:rPr>
          <w:i/>
          <w:iCs/>
        </w:rPr>
        <w:t xml:space="preserve"> </w:t>
      </w:r>
      <w:r w:rsidR="00AD189A">
        <w:t>read</w:t>
      </w:r>
      <w:r w:rsidR="00A17145">
        <w:rPr>
          <w:lang w:eastAsia="en-US"/>
        </w:rPr>
        <w:t xml:space="preserve"> as follows</w:t>
      </w:r>
      <w:r w:rsidR="00A17145" w:rsidRPr="00BB1A6E">
        <w:rPr>
          <w:lang w:eastAsia="en-US"/>
        </w:rPr>
        <w:t>:</w:t>
      </w:r>
    </w:p>
    <w:p w14:paraId="22B43759" w14:textId="4671C719" w:rsidR="00A17145" w:rsidRDefault="00A17145" w:rsidP="00F12612">
      <w:pPr>
        <w:pStyle w:val="ListParagraph"/>
        <w:jc w:val="both"/>
      </w:pPr>
      <w:r w:rsidRPr="00BB1A6E">
        <w:t>Can a strike, or other similar organized activity, which is a legal act in a particular country and legal in Canada, that results in economic disruption or which is intended to influence a government action in such country, be considered an act of terrorism or subversion under section 34 of the </w:t>
      </w:r>
      <w:r w:rsidRPr="00275E65">
        <w:rPr>
          <w:i/>
          <w:iCs/>
        </w:rPr>
        <w:t>Immigration and Refugee Protection Act</w:t>
      </w:r>
      <w:r w:rsidRPr="00BB1A6E">
        <w:t>?</w:t>
      </w:r>
    </w:p>
    <w:p w14:paraId="052F6CD3" w14:textId="067A8768" w:rsidR="003E2C52" w:rsidRDefault="003E2C52" w:rsidP="00A17145">
      <w:pPr>
        <w:pStyle w:val="ListParagraph"/>
        <w:spacing w:before="160"/>
        <w:ind w:left="624"/>
        <w:jc w:val="both"/>
      </w:pPr>
    </w:p>
    <w:p w14:paraId="36ED75BB" w14:textId="7F588B29" w:rsidR="00A17145" w:rsidRDefault="00A17145" w:rsidP="00A17145">
      <w:pPr>
        <w:pStyle w:val="ListParagraph"/>
        <w:rPr>
          <w:rFonts w:asciiTheme="majorBidi" w:hAnsiTheme="majorBidi" w:cstheme="majorBidi"/>
        </w:rPr>
      </w:pPr>
      <w:r w:rsidRPr="00BB1A6E">
        <w:rPr>
          <w:rFonts w:asciiTheme="majorBidi" w:hAnsiTheme="majorBidi" w:cstheme="majorBidi"/>
          <w:i/>
          <w:iCs/>
        </w:rPr>
        <w:t xml:space="preserve">Alam v Canada (Citizenship and Immigration), </w:t>
      </w:r>
      <w:r w:rsidRPr="00BB1A6E">
        <w:rPr>
          <w:rFonts w:asciiTheme="majorBidi" w:hAnsiTheme="majorBidi" w:cstheme="majorBidi"/>
        </w:rPr>
        <w:t>2018 FC 922 at para</w:t>
      </w:r>
      <w:r>
        <w:rPr>
          <w:rFonts w:asciiTheme="majorBidi" w:hAnsiTheme="majorBidi" w:cstheme="majorBidi"/>
        </w:rPr>
        <w:t>s</w:t>
      </w:r>
      <w:r w:rsidRPr="00BB1A6E">
        <w:rPr>
          <w:rFonts w:asciiTheme="majorBidi" w:hAnsiTheme="majorBidi" w:cstheme="majorBidi"/>
        </w:rPr>
        <w:t xml:space="preserve"> </w:t>
      </w:r>
      <w:r>
        <w:rPr>
          <w:rFonts w:asciiTheme="majorBidi" w:hAnsiTheme="majorBidi" w:cstheme="majorBidi"/>
        </w:rPr>
        <w:t>39</w:t>
      </w:r>
      <w:r w:rsidR="00215636">
        <w:rPr>
          <w:rFonts w:asciiTheme="majorBidi" w:hAnsiTheme="majorBidi" w:cstheme="majorBidi"/>
        </w:rPr>
        <w:t xml:space="preserve">, </w:t>
      </w:r>
      <w:r>
        <w:rPr>
          <w:rFonts w:asciiTheme="majorBidi" w:hAnsiTheme="majorBidi" w:cstheme="majorBidi"/>
        </w:rPr>
        <w:t>46 [</w:t>
      </w:r>
      <w:r>
        <w:rPr>
          <w:rFonts w:asciiTheme="majorBidi" w:hAnsiTheme="majorBidi" w:cstheme="majorBidi"/>
          <w:i/>
          <w:iCs/>
        </w:rPr>
        <w:t>Alam</w:t>
      </w:r>
      <w:r>
        <w:rPr>
          <w:rFonts w:asciiTheme="majorBidi" w:hAnsiTheme="majorBidi" w:cstheme="majorBidi"/>
        </w:rPr>
        <w:t>].</w:t>
      </w:r>
    </w:p>
    <w:p w14:paraId="66DA2339" w14:textId="77777777" w:rsidR="0047365B" w:rsidRPr="002729CA" w:rsidRDefault="0047365B" w:rsidP="002729CA">
      <w:pPr>
        <w:pStyle w:val="ListParagraph"/>
        <w:rPr>
          <w:rFonts w:asciiTheme="majorBidi" w:hAnsiTheme="majorBidi" w:cstheme="majorBidi"/>
          <w:i/>
          <w:iCs/>
        </w:rPr>
      </w:pPr>
    </w:p>
    <w:p w14:paraId="19A77611" w14:textId="2CBB6C85" w:rsidR="00E75F51" w:rsidRDefault="00675DC2" w:rsidP="00A806EE">
      <w:pPr>
        <w:pStyle w:val="ListParagraph"/>
        <w:numPr>
          <w:ilvl w:val="0"/>
          <w:numId w:val="1"/>
        </w:numPr>
        <w:spacing w:line="480" w:lineRule="auto"/>
        <w:ind w:left="0" w:firstLine="0"/>
        <w:jc w:val="both"/>
        <w:rPr>
          <w:lang w:eastAsia="en-US"/>
        </w:rPr>
      </w:pPr>
      <w:r>
        <w:rPr>
          <w:lang w:eastAsia="en-US"/>
        </w:rPr>
        <w:t xml:space="preserve">In the case at bar, whether the BNP </w:t>
      </w:r>
      <w:r w:rsidR="00270A6B">
        <w:rPr>
          <w:lang w:eastAsia="en-US"/>
        </w:rPr>
        <w:t xml:space="preserve">intended </w:t>
      </w:r>
      <w:r w:rsidR="00A806EE">
        <w:t xml:space="preserve">the violence accompanying </w:t>
      </w:r>
      <w:r w:rsidR="00270A6B">
        <w:rPr>
          <w:lang w:eastAsia="en-US"/>
        </w:rPr>
        <w:t xml:space="preserve">the hartals </w:t>
      </w:r>
      <w:r>
        <w:rPr>
          <w:lang w:eastAsia="en-US"/>
        </w:rPr>
        <w:t xml:space="preserve">is a dispositive </w:t>
      </w:r>
      <w:r w:rsidR="00993E1B">
        <w:rPr>
          <w:lang w:eastAsia="en-US"/>
        </w:rPr>
        <w:t>fact</w:t>
      </w:r>
      <w:r w:rsidR="00127D28">
        <w:rPr>
          <w:lang w:eastAsia="en-US"/>
        </w:rPr>
        <w:t xml:space="preserve"> and should be captured in a certified question</w:t>
      </w:r>
      <w:r>
        <w:rPr>
          <w:lang w:eastAsia="en-US"/>
        </w:rPr>
        <w:t xml:space="preserve">. </w:t>
      </w:r>
      <w:r w:rsidR="005E6233">
        <w:rPr>
          <w:lang w:eastAsia="en-US"/>
        </w:rPr>
        <w:t>In</w:t>
      </w:r>
      <w:r w:rsidR="005E6233" w:rsidRPr="005E6233">
        <w:t xml:space="preserve"> </w:t>
      </w:r>
      <w:r w:rsidR="005E6233" w:rsidRPr="00F61577">
        <w:rPr>
          <w:i/>
          <w:iCs/>
          <w:lang w:eastAsia="en-US"/>
        </w:rPr>
        <w:t>Oremade</w:t>
      </w:r>
      <w:r w:rsidR="005E6233">
        <w:rPr>
          <w:lang w:eastAsia="en-US"/>
        </w:rPr>
        <w:t xml:space="preserve">, the Federal Court held that </w:t>
      </w:r>
      <w:r w:rsidR="00E75F51">
        <w:rPr>
          <w:lang w:eastAsia="en-US"/>
        </w:rPr>
        <w:t>the intention to use force must be established</w:t>
      </w:r>
      <w:r w:rsidR="00FA4EBC">
        <w:rPr>
          <w:lang w:eastAsia="en-US"/>
        </w:rPr>
        <w:t xml:space="preserve"> in </w:t>
      </w:r>
      <w:r w:rsidR="00270A6B">
        <w:rPr>
          <w:lang w:eastAsia="en-US"/>
        </w:rPr>
        <w:t xml:space="preserve">a </w:t>
      </w:r>
      <w:r w:rsidR="00FA4EBC">
        <w:rPr>
          <w:lang w:eastAsia="en-US"/>
        </w:rPr>
        <w:t xml:space="preserve">finding </w:t>
      </w:r>
      <w:r w:rsidR="00270A6B">
        <w:rPr>
          <w:lang w:eastAsia="en-US"/>
        </w:rPr>
        <w:t xml:space="preserve">of </w:t>
      </w:r>
      <w:r w:rsidR="00FA4EBC">
        <w:rPr>
          <w:lang w:eastAsia="en-US"/>
        </w:rPr>
        <w:t>inadmissibility under s. 34(1)(b)</w:t>
      </w:r>
      <w:r w:rsidR="00E75F51">
        <w:rPr>
          <w:lang w:eastAsia="en-US"/>
        </w:rPr>
        <w:t xml:space="preserve">. </w:t>
      </w:r>
      <w:r w:rsidR="00993E1B">
        <w:rPr>
          <w:lang w:eastAsia="en-US"/>
        </w:rPr>
        <w:t>The issue</w:t>
      </w:r>
      <w:r w:rsidR="007152B4">
        <w:rPr>
          <w:lang w:eastAsia="en-US"/>
        </w:rPr>
        <w:t xml:space="preserve"> o</w:t>
      </w:r>
      <w:r w:rsidR="00270A6B">
        <w:rPr>
          <w:lang w:eastAsia="en-US"/>
        </w:rPr>
        <w:t>f</w:t>
      </w:r>
      <w:r w:rsidR="007152B4">
        <w:rPr>
          <w:lang w:eastAsia="en-US"/>
        </w:rPr>
        <w:t xml:space="preserve"> the intention to </w:t>
      </w:r>
      <w:r w:rsidR="00215796">
        <w:rPr>
          <w:lang w:eastAsia="en-US"/>
        </w:rPr>
        <w:t>use</w:t>
      </w:r>
      <w:r w:rsidR="007152B4">
        <w:rPr>
          <w:lang w:eastAsia="en-US"/>
        </w:rPr>
        <w:t xml:space="preserve"> force</w:t>
      </w:r>
      <w:r w:rsidR="00993E1B">
        <w:rPr>
          <w:lang w:eastAsia="en-US"/>
        </w:rPr>
        <w:t xml:space="preserve"> is contested in the case at bar. </w:t>
      </w:r>
      <w:r w:rsidR="00993E1B" w:rsidRPr="00C22DCA">
        <w:rPr>
          <w:lang w:eastAsia="en-US"/>
        </w:rPr>
        <w:t xml:space="preserve">The </w:t>
      </w:r>
      <w:r w:rsidR="00270A6B">
        <w:rPr>
          <w:lang w:eastAsia="en-US"/>
        </w:rPr>
        <w:t>O</w:t>
      </w:r>
      <w:r w:rsidR="00993E1B" w:rsidRPr="00C22DCA">
        <w:rPr>
          <w:lang w:eastAsia="en-US"/>
        </w:rPr>
        <w:t xml:space="preserve">fficer </w:t>
      </w:r>
      <w:r w:rsidR="00270A6B">
        <w:rPr>
          <w:lang w:eastAsia="en-US"/>
        </w:rPr>
        <w:t>found</w:t>
      </w:r>
      <w:r w:rsidR="00993E1B" w:rsidRPr="00C22DCA">
        <w:rPr>
          <w:lang w:eastAsia="en-US"/>
        </w:rPr>
        <w:t xml:space="preserve"> that the BNP intent</w:t>
      </w:r>
      <w:r w:rsidR="00A806EE">
        <w:rPr>
          <w:lang w:eastAsia="en-US"/>
        </w:rPr>
        <w:t>ed</w:t>
      </w:r>
      <w:r w:rsidR="00993E1B" w:rsidRPr="00C22DCA">
        <w:rPr>
          <w:lang w:eastAsia="en-US"/>
        </w:rPr>
        <w:t xml:space="preserve"> the accompanying violence</w:t>
      </w:r>
      <w:r w:rsidR="00A806EE" w:rsidRPr="00A806EE">
        <w:rPr>
          <w:lang w:eastAsia="en-US"/>
        </w:rPr>
        <w:t xml:space="preserve"> </w:t>
      </w:r>
      <w:r w:rsidR="00A806EE" w:rsidRPr="00C22DCA">
        <w:rPr>
          <w:lang w:eastAsia="en-US"/>
        </w:rPr>
        <w:t>in calling for hartals</w:t>
      </w:r>
      <w:r w:rsidR="00993E1B" w:rsidRPr="00C22DCA">
        <w:rPr>
          <w:lang w:eastAsia="en-US"/>
        </w:rPr>
        <w:t>, whereas Justice Jag</w:t>
      </w:r>
      <w:r w:rsidR="00993E1B">
        <w:rPr>
          <w:lang w:eastAsia="en-US"/>
        </w:rPr>
        <w:t>g</w:t>
      </w:r>
      <w:r w:rsidR="00270A6B">
        <w:rPr>
          <w:lang w:eastAsia="en-US"/>
        </w:rPr>
        <w:t>e</w:t>
      </w:r>
      <w:r w:rsidR="00993E1B" w:rsidRPr="00C22DCA">
        <w:rPr>
          <w:lang w:eastAsia="en-US"/>
        </w:rPr>
        <w:t xml:space="preserve">r </w:t>
      </w:r>
      <w:r w:rsidR="00A806EE">
        <w:rPr>
          <w:lang w:eastAsia="en-US"/>
        </w:rPr>
        <w:t>held</w:t>
      </w:r>
      <w:r w:rsidR="00A806EE" w:rsidRPr="00C22DCA">
        <w:rPr>
          <w:lang w:eastAsia="en-US"/>
        </w:rPr>
        <w:t xml:space="preserve"> </w:t>
      </w:r>
      <w:r w:rsidR="00A806EE">
        <w:rPr>
          <w:lang w:eastAsia="en-US"/>
        </w:rPr>
        <w:t xml:space="preserve">that the evidence did not establish that the </w:t>
      </w:r>
      <w:r w:rsidR="00A806EE" w:rsidRPr="00C22DCA">
        <w:rPr>
          <w:lang w:eastAsia="en-US"/>
        </w:rPr>
        <w:t>BNP</w:t>
      </w:r>
      <w:r w:rsidR="00A806EE">
        <w:rPr>
          <w:lang w:eastAsia="en-US"/>
        </w:rPr>
        <w:t xml:space="preserve"> intended the accompanying violence when it called for hartals</w:t>
      </w:r>
      <w:r w:rsidR="00993E1B" w:rsidRPr="00C22DCA">
        <w:rPr>
          <w:lang w:eastAsia="en-US"/>
        </w:rPr>
        <w:t>.</w:t>
      </w:r>
      <w:r w:rsidR="00993E1B">
        <w:rPr>
          <w:lang w:eastAsia="en-US"/>
        </w:rPr>
        <w:t xml:space="preserve"> </w:t>
      </w:r>
      <w:r w:rsidR="00A806EE">
        <w:rPr>
          <w:lang w:eastAsia="en-US"/>
        </w:rPr>
        <w:t xml:space="preserve">Question (1) omits any reference to the intention to use force. Similar to the proposed question in </w:t>
      </w:r>
      <w:r w:rsidR="00A806EE" w:rsidRPr="00157D20">
        <w:rPr>
          <w:i/>
          <w:iCs/>
          <w:lang w:eastAsia="en-US"/>
        </w:rPr>
        <w:t>Alam</w:t>
      </w:r>
      <w:r w:rsidR="00A806EE">
        <w:rPr>
          <w:lang w:eastAsia="en-US"/>
        </w:rPr>
        <w:t xml:space="preserve">, </w:t>
      </w:r>
      <w:r w:rsidR="00CA5412">
        <w:rPr>
          <w:lang w:eastAsia="en-US"/>
        </w:rPr>
        <w:t>question (1)</w:t>
      </w:r>
      <w:r w:rsidR="00A806EE">
        <w:rPr>
          <w:lang w:eastAsia="en-US"/>
        </w:rPr>
        <w:t xml:space="preserve"> fails to capture the facts that are dispositive of the issue. The question is therefore not dispositive of the appeal</w:t>
      </w:r>
      <w:r w:rsidR="00CA5412">
        <w:rPr>
          <w:lang w:eastAsia="en-US"/>
        </w:rPr>
        <w:t xml:space="preserve">. It </w:t>
      </w:r>
      <w:r w:rsidR="00A806EE">
        <w:rPr>
          <w:lang w:eastAsia="en-US"/>
        </w:rPr>
        <w:t>was not properly certified.</w:t>
      </w:r>
    </w:p>
    <w:p w14:paraId="4EAB9946" w14:textId="77777777" w:rsidR="00347B5B" w:rsidRDefault="00347B5B" w:rsidP="002729CA">
      <w:pPr>
        <w:pStyle w:val="ListParagraph"/>
        <w:rPr>
          <w:rFonts w:asciiTheme="majorBidi" w:hAnsiTheme="majorBidi" w:cstheme="majorBidi"/>
        </w:rPr>
      </w:pPr>
      <w:r w:rsidRPr="00157D20">
        <w:rPr>
          <w:rFonts w:asciiTheme="majorBidi" w:hAnsiTheme="majorBidi" w:cstheme="majorBidi"/>
          <w:i/>
          <w:iCs/>
        </w:rPr>
        <w:t xml:space="preserve">Oremade v Canada (Minister of Citizenship and Immigration), </w:t>
      </w:r>
      <w:r w:rsidRPr="00157D20">
        <w:rPr>
          <w:rFonts w:asciiTheme="majorBidi" w:hAnsiTheme="majorBidi" w:cstheme="majorBidi"/>
        </w:rPr>
        <w:t>2005 FC 1077 at para 25</w:t>
      </w:r>
      <w:r>
        <w:rPr>
          <w:rFonts w:asciiTheme="majorBidi" w:hAnsiTheme="majorBidi" w:cstheme="majorBidi"/>
        </w:rPr>
        <w:t xml:space="preserve"> </w:t>
      </w:r>
      <w:r w:rsidRPr="008D6C66">
        <w:rPr>
          <w:rFonts w:asciiTheme="majorBidi" w:hAnsiTheme="majorBidi" w:cstheme="majorBidi"/>
        </w:rPr>
        <w:t>[</w:t>
      </w:r>
      <w:r w:rsidRPr="00157D20">
        <w:rPr>
          <w:rFonts w:asciiTheme="majorBidi" w:hAnsiTheme="majorBidi" w:cstheme="majorBidi"/>
          <w:i/>
          <w:iCs/>
        </w:rPr>
        <w:t>Oremade</w:t>
      </w:r>
      <w:r w:rsidRPr="008D6C66">
        <w:rPr>
          <w:rFonts w:asciiTheme="majorBidi" w:hAnsiTheme="majorBidi" w:cstheme="majorBidi"/>
        </w:rPr>
        <w:t>]</w:t>
      </w:r>
      <w:r>
        <w:rPr>
          <w:rFonts w:asciiTheme="majorBidi" w:hAnsiTheme="majorBidi" w:cstheme="majorBidi"/>
        </w:rPr>
        <w:t>.</w:t>
      </w:r>
    </w:p>
    <w:p w14:paraId="69BE6D39" w14:textId="75483EF2" w:rsidR="00347B5B" w:rsidRPr="004307D8" w:rsidRDefault="00347B5B" w:rsidP="002729CA">
      <w:pPr>
        <w:pStyle w:val="ListParagraph"/>
        <w:rPr>
          <w:rFonts w:asciiTheme="majorBidi" w:hAnsiTheme="majorBidi" w:cstheme="majorBidi"/>
        </w:rPr>
      </w:pPr>
      <w:r w:rsidRPr="00ED38AC">
        <w:rPr>
          <w:rFonts w:asciiTheme="majorBidi" w:hAnsiTheme="majorBidi" w:cstheme="majorBidi"/>
        </w:rPr>
        <w:t>Officer’s reasons</w:t>
      </w:r>
      <w:r w:rsidRPr="002A3411">
        <w:rPr>
          <w:rFonts w:asciiTheme="majorBidi" w:hAnsiTheme="majorBidi" w:cstheme="majorBidi"/>
          <w:i/>
          <w:iCs/>
        </w:rPr>
        <w:t xml:space="preserve"> </w:t>
      </w:r>
      <w:r w:rsidRPr="004307D8">
        <w:rPr>
          <w:rFonts w:asciiTheme="majorBidi" w:hAnsiTheme="majorBidi" w:cstheme="majorBidi"/>
        </w:rPr>
        <w:t>at para 28.</w:t>
      </w:r>
    </w:p>
    <w:p w14:paraId="42BC68A4" w14:textId="58EC21B9" w:rsidR="00347B5B" w:rsidRDefault="00CF251F" w:rsidP="00A806EE">
      <w:pPr>
        <w:pStyle w:val="ListParagraph"/>
        <w:ind w:left="0" w:firstLine="720"/>
        <w:jc w:val="both"/>
        <w:rPr>
          <w:rFonts w:asciiTheme="majorBidi" w:hAnsiTheme="majorBidi" w:cstheme="majorBidi"/>
          <w:i/>
          <w:iCs/>
        </w:rPr>
      </w:pPr>
      <w:r w:rsidRPr="00F839B4">
        <w:rPr>
          <w:rFonts w:asciiTheme="majorBidi" w:hAnsiTheme="majorBidi" w:cstheme="majorBidi"/>
          <w:i/>
          <w:iCs/>
        </w:rPr>
        <w:t>Chowdhury, supra</w:t>
      </w:r>
      <w:r w:rsidRPr="00C3761D">
        <w:rPr>
          <w:rFonts w:asciiTheme="majorBidi" w:hAnsiTheme="majorBidi" w:cstheme="majorBidi"/>
        </w:rPr>
        <w:t xml:space="preserve"> </w:t>
      </w:r>
      <w:r w:rsidR="00215636">
        <w:rPr>
          <w:rFonts w:asciiTheme="majorBidi" w:hAnsiTheme="majorBidi" w:cstheme="majorBidi"/>
        </w:rPr>
        <w:t xml:space="preserve">para 15 </w:t>
      </w:r>
      <w:r w:rsidRPr="00C3761D">
        <w:rPr>
          <w:rFonts w:asciiTheme="majorBidi" w:hAnsiTheme="majorBidi" w:cstheme="majorBidi"/>
        </w:rPr>
        <w:t>at para 2</w:t>
      </w:r>
      <w:r>
        <w:rPr>
          <w:rFonts w:asciiTheme="majorBidi" w:hAnsiTheme="majorBidi" w:cstheme="majorBidi"/>
        </w:rPr>
        <w:t>6</w:t>
      </w:r>
      <w:r w:rsidR="00347B5B" w:rsidRPr="00CF251F">
        <w:rPr>
          <w:rFonts w:asciiTheme="majorBidi" w:hAnsiTheme="majorBidi" w:cstheme="majorBidi"/>
          <w:i/>
          <w:iCs/>
        </w:rPr>
        <w:t>.</w:t>
      </w:r>
    </w:p>
    <w:p w14:paraId="56BA17C0" w14:textId="77777777" w:rsidR="00A806EE" w:rsidRPr="00A806EE" w:rsidRDefault="00A806EE" w:rsidP="002373DC">
      <w:pPr>
        <w:pStyle w:val="ListParagraph"/>
        <w:ind w:left="0" w:firstLine="720"/>
        <w:jc w:val="both"/>
      </w:pPr>
    </w:p>
    <w:p w14:paraId="478EF168" w14:textId="559CDDE4" w:rsidR="00745CBA" w:rsidRDefault="00CC45AD" w:rsidP="005436EE">
      <w:pPr>
        <w:pStyle w:val="ListParagraph"/>
        <w:numPr>
          <w:ilvl w:val="0"/>
          <w:numId w:val="20"/>
        </w:numPr>
        <w:rPr>
          <w:b/>
          <w:bCs/>
          <w:i/>
          <w:iCs/>
        </w:rPr>
      </w:pPr>
      <w:r w:rsidRPr="00072761">
        <w:rPr>
          <w:b/>
          <w:bCs/>
          <w:i/>
          <w:iCs/>
        </w:rPr>
        <w:t xml:space="preserve">Question (2) </w:t>
      </w:r>
      <w:r w:rsidR="00136730">
        <w:rPr>
          <w:b/>
          <w:bCs/>
          <w:i/>
          <w:iCs/>
        </w:rPr>
        <w:t>was not properly</w:t>
      </w:r>
      <w:r w:rsidRPr="00072761">
        <w:rPr>
          <w:b/>
          <w:bCs/>
          <w:i/>
          <w:iCs/>
        </w:rPr>
        <w:t xml:space="preserve"> certified because the law </w:t>
      </w:r>
      <w:r w:rsidR="009229F6">
        <w:rPr>
          <w:b/>
          <w:bCs/>
          <w:i/>
          <w:iCs/>
        </w:rPr>
        <w:t>on the</w:t>
      </w:r>
      <w:r w:rsidRPr="00072761">
        <w:rPr>
          <w:b/>
          <w:bCs/>
          <w:i/>
          <w:iCs/>
        </w:rPr>
        <w:t xml:space="preserve"> issue is settled</w:t>
      </w:r>
    </w:p>
    <w:p w14:paraId="7DF957C7" w14:textId="77777777" w:rsidR="005436EE" w:rsidRPr="00072761" w:rsidRDefault="005436EE" w:rsidP="005436EE">
      <w:pPr>
        <w:pStyle w:val="ListParagraph"/>
        <w:rPr>
          <w:b/>
          <w:bCs/>
          <w:i/>
          <w:iCs/>
        </w:rPr>
      </w:pPr>
    </w:p>
    <w:p w14:paraId="1F1ED0F4" w14:textId="4C91D3AC" w:rsidR="007D7E96" w:rsidRDefault="007D7E96" w:rsidP="003A385A">
      <w:pPr>
        <w:pStyle w:val="ListParagraph"/>
        <w:numPr>
          <w:ilvl w:val="0"/>
          <w:numId w:val="1"/>
        </w:numPr>
        <w:spacing w:line="480" w:lineRule="auto"/>
        <w:ind w:left="0" w:firstLine="0"/>
        <w:jc w:val="both"/>
        <w:rPr>
          <w:lang w:eastAsia="en-US"/>
        </w:rPr>
      </w:pPr>
      <w:r>
        <w:rPr>
          <w:lang w:eastAsia="en-US"/>
        </w:rPr>
        <w:t>Justice Jag</w:t>
      </w:r>
      <w:r w:rsidR="007152B4">
        <w:rPr>
          <w:lang w:eastAsia="en-US"/>
        </w:rPr>
        <w:t>g</w:t>
      </w:r>
      <w:r w:rsidR="00AD189A">
        <w:rPr>
          <w:lang w:eastAsia="en-US"/>
        </w:rPr>
        <w:t>e</w:t>
      </w:r>
      <w:r>
        <w:rPr>
          <w:lang w:eastAsia="en-US"/>
        </w:rPr>
        <w:t>r certified the second question as follow</w:t>
      </w:r>
      <w:r w:rsidR="00964B30">
        <w:rPr>
          <w:lang w:eastAsia="en-US"/>
        </w:rPr>
        <w:t>s</w:t>
      </w:r>
      <w:r>
        <w:rPr>
          <w:lang w:eastAsia="en-US"/>
        </w:rPr>
        <w:t>:</w:t>
      </w:r>
    </w:p>
    <w:p w14:paraId="6FBC1FDA" w14:textId="537C05AB" w:rsidR="007D7E96" w:rsidRDefault="007D7E96" w:rsidP="005436EE">
      <w:pPr>
        <w:pStyle w:val="ListParagraph"/>
        <w:ind w:left="1134" w:hanging="425"/>
        <w:jc w:val="both"/>
      </w:pPr>
      <w:r>
        <w:t>(2)</w:t>
      </w:r>
      <w:r>
        <w:tab/>
      </w:r>
      <w:r w:rsidRPr="00EB56E0">
        <w:t>Can evidence of duress negate a finding of membership under s. 34(1)(f)?</w:t>
      </w:r>
    </w:p>
    <w:p w14:paraId="57F258E5" w14:textId="77777777" w:rsidR="007D7E96" w:rsidRDefault="007D7E96" w:rsidP="00964B30">
      <w:pPr>
        <w:pStyle w:val="ListParagraph"/>
        <w:jc w:val="both"/>
      </w:pPr>
    </w:p>
    <w:p w14:paraId="6E231092" w14:textId="233E7667" w:rsidR="00504FC2" w:rsidRDefault="00755446" w:rsidP="00CA5412">
      <w:pPr>
        <w:pStyle w:val="ListParagraph"/>
        <w:numPr>
          <w:ilvl w:val="0"/>
          <w:numId w:val="1"/>
        </w:numPr>
        <w:spacing w:line="480" w:lineRule="auto"/>
        <w:ind w:left="0" w:firstLine="0"/>
        <w:jc w:val="both"/>
        <w:rPr>
          <w:lang w:eastAsia="en-US"/>
        </w:rPr>
      </w:pPr>
      <w:r>
        <w:rPr>
          <w:lang w:eastAsia="en-US"/>
        </w:rPr>
        <w:t xml:space="preserve">This question </w:t>
      </w:r>
      <w:r w:rsidR="00964B30">
        <w:rPr>
          <w:lang w:eastAsia="en-US"/>
        </w:rPr>
        <w:t>pertains to an</w:t>
      </w:r>
      <w:r>
        <w:rPr>
          <w:lang w:eastAsia="en-US"/>
        </w:rPr>
        <w:t xml:space="preserve"> issue on which the law is settled.</w:t>
      </w:r>
      <w:r w:rsidR="00B435E6" w:rsidRPr="00B435E6">
        <w:rPr>
          <w:lang w:eastAsia="en-US"/>
        </w:rPr>
        <w:t xml:space="preserve"> </w:t>
      </w:r>
      <w:r w:rsidR="00AC7CB6">
        <w:rPr>
          <w:lang w:eastAsia="en-US"/>
        </w:rPr>
        <w:t>A</w:t>
      </w:r>
      <w:r w:rsidR="00B96C81" w:rsidRPr="00B96C81">
        <w:rPr>
          <w:lang w:eastAsia="en-US"/>
        </w:rPr>
        <w:t xml:space="preserve"> question </w:t>
      </w:r>
      <w:r w:rsidR="001946B4">
        <w:rPr>
          <w:lang w:eastAsia="en-US"/>
        </w:rPr>
        <w:t>that raises a</w:t>
      </w:r>
      <w:r w:rsidR="00AC7CB6">
        <w:rPr>
          <w:lang w:eastAsia="en-US"/>
        </w:rPr>
        <w:t xml:space="preserve"> </w:t>
      </w:r>
      <w:r w:rsidR="001946B4">
        <w:rPr>
          <w:lang w:eastAsia="en-US"/>
        </w:rPr>
        <w:t>settled issue does not meet the s. 74(d) requirement on “</w:t>
      </w:r>
      <w:r w:rsidR="00B96C81" w:rsidRPr="00B96C81">
        <w:rPr>
          <w:lang w:eastAsia="en-US"/>
        </w:rPr>
        <w:t>general importance</w:t>
      </w:r>
      <w:r w:rsidR="001946B4">
        <w:rPr>
          <w:lang w:eastAsia="en-US"/>
        </w:rPr>
        <w:t>”</w:t>
      </w:r>
      <w:r w:rsidR="00B96C81" w:rsidRPr="00B96C81">
        <w:rPr>
          <w:lang w:eastAsia="en-US"/>
        </w:rPr>
        <w:t xml:space="preserve">. </w:t>
      </w:r>
      <w:r w:rsidR="00CA5412">
        <w:rPr>
          <w:lang w:eastAsia="en-US"/>
        </w:rPr>
        <w:t xml:space="preserve">The Federal Court of Appeal held in </w:t>
      </w:r>
      <w:r w:rsidR="00CA5412" w:rsidRPr="00CA5412">
        <w:rPr>
          <w:i/>
          <w:iCs/>
          <w:lang w:eastAsia="en-US"/>
        </w:rPr>
        <w:t>Lew</w:t>
      </w:r>
      <w:r w:rsidR="00CA5412" w:rsidRPr="004B1BF6">
        <w:rPr>
          <w:i/>
          <w:iCs/>
          <w:lang w:eastAsia="en-US"/>
        </w:rPr>
        <w:t>is</w:t>
      </w:r>
      <w:r w:rsidR="00CA5412">
        <w:rPr>
          <w:lang w:eastAsia="en-US"/>
        </w:rPr>
        <w:t xml:space="preserve"> that “</w:t>
      </w:r>
      <w:r w:rsidR="00CA5412" w:rsidRPr="00157D20">
        <w:rPr>
          <w:lang w:eastAsia="en-US"/>
        </w:rPr>
        <w:t>all properly certified questions lack decided binding authority</w:t>
      </w:r>
      <w:r w:rsidR="00CA5412">
        <w:rPr>
          <w:lang w:eastAsia="en-US"/>
        </w:rPr>
        <w:t xml:space="preserve">.” </w:t>
      </w:r>
      <w:r w:rsidR="00A9790B">
        <w:rPr>
          <w:lang w:eastAsia="en-US"/>
        </w:rPr>
        <w:t xml:space="preserve">In </w:t>
      </w:r>
      <w:r w:rsidR="00A9790B" w:rsidRPr="00CA5412">
        <w:rPr>
          <w:rFonts w:asciiTheme="majorBidi" w:hAnsiTheme="majorBidi" w:cstheme="majorBidi"/>
          <w:i/>
          <w:iCs/>
        </w:rPr>
        <w:t>Krishan</w:t>
      </w:r>
      <w:r w:rsidR="00504FC2" w:rsidRPr="002729CA">
        <w:rPr>
          <w:lang w:eastAsia="en-US"/>
        </w:rPr>
        <w:t xml:space="preserve">, </w:t>
      </w:r>
      <w:r w:rsidR="00504FC2">
        <w:rPr>
          <w:lang w:eastAsia="en-US"/>
        </w:rPr>
        <w:t>the Federal Court</w:t>
      </w:r>
      <w:r w:rsidR="00A9790B">
        <w:rPr>
          <w:lang w:eastAsia="en-US"/>
        </w:rPr>
        <w:t xml:space="preserve"> </w:t>
      </w:r>
      <w:r w:rsidR="00296696">
        <w:rPr>
          <w:lang w:eastAsia="en-US"/>
        </w:rPr>
        <w:t xml:space="preserve">found </w:t>
      </w:r>
      <w:r w:rsidR="00A9790B">
        <w:rPr>
          <w:lang w:eastAsia="en-US"/>
        </w:rPr>
        <w:t xml:space="preserve">that a proposed question </w:t>
      </w:r>
      <w:r w:rsidR="00296696">
        <w:rPr>
          <w:lang w:eastAsia="en-US"/>
        </w:rPr>
        <w:t>wa</w:t>
      </w:r>
      <w:r w:rsidR="00A9790B">
        <w:rPr>
          <w:lang w:eastAsia="en-US"/>
        </w:rPr>
        <w:t>s not a serious question of general importance because the law around the question is well laid out</w:t>
      </w:r>
      <w:r w:rsidR="00504FC2">
        <w:rPr>
          <w:lang w:eastAsia="en-US"/>
        </w:rPr>
        <w:t>.</w:t>
      </w:r>
      <w:r w:rsidR="00CA5412">
        <w:rPr>
          <w:lang w:eastAsia="en-US"/>
        </w:rPr>
        <w:t xml:space="preserve"> </w:t>
      </w:r>
    </w:p>
    <w:p w14:paraId="794920CD" w14:textId="725B3A51" w:rsidR="00CA5412" w:rsidRPr="002373DC" w:rsidRDefault="00CA5412" w:rsidP="00CA5412">
      <w:pPr>
        <w:pStyle w:val="ListParagraph"/>
        <w:rPr>
          <w:rFonts w:asciiTheme="majorBidi" w:hAnsiTheme="majorBidi" w:cstheme="majorBidi"/>
          <w:i/>
          <w:iCs/>
        </w:rPr>
      </w:pPr>
      <w:r w:rsidRPr="007152B4">
        <w:rPr>
          <w:rFonts w:asciiTheme="majorBidi" w:hAnsiTheme="majorBidi" w:cstheme="majorBidi"/>
          <w:i/>
          <w:iCs/>
        </w:rPr>
        <w:t>Lewis v Canada (Public Safety and Emergency Preparedness)</w:t>
      </w:r>
      <w:r w:rsidRPr="007152B4">
        <w:rPr>
          <w:rFonts w:asciiTheme="majorBidi" w:hAnsiTheme="majorBidi" w:cstheme="majorBidi"/>
        </w:rPr>
        <w:t>, </w:t>
      </w:r>
      <w:hyperlink r:id="rId7" w:tooltip="Federal Court of Appeal" w:history="1">
        <w:r w:rsidRPr="007152B4">
          <w:rPr>
            <w:rFonts w:asciiTheme="majorBidi" w:hAnsiTheme="majorBidi" w:cstheme="majorBidi"/>
          </w:rPr>
          <w:t>2017 FCA 130</w:t>
        </w:r>
      </w:hyperlink>
      <w:r w:rsidRPr="007152B4">
        <w:rPr>
          <w:rFonts w:asciiTheme="majorBidi" w:hAnsiTheme="majorBidi" w:cstheme="majorBidi"/>
        </w:rPr>
        <w:t> at para 39</w:t>
      </w:r>
      <w:r>
        <w:rPr>
          <w:rFonts w:asciiTheme="majorBidi" w:hAnsiTheme="majorBidi" w:cstheme="majorBidi"/>
        </w:rPr>
        <w:t>.</w:t>
      </w:r>
    </w:p>
    <w:p w14:paraId="20026F6F" w14:textId="517CC47A" w:rsidR="00504FC2" w:rsidRPr="002729CA" w:rsidRDefault="00504FC2" w:rsidP="002729CA">
      <w:pPr>
        <w:pStyle w:val="ListParagraph"/>
        <w:rPr>
          <w:rFonts w:asciiTheme="majorBidi" w:hAnsiTheme="majorBidi" w:cstheme="majorBidi"/>
          <w:i/>
          <w:iCs/>
        </w:rPr>
      </w:pPr>
      <w:r w:rsidRPr="002729CA">
        <w:rPr>
          <w:rFonts w:asciiTheme="majorBidi" w:hAnsiTheme="majorBidi" w:cstheme="majorBidi"/>
          <w:i/>
          <w:iCs/>
        </w:rPr>
        <w:t>Krishan v Canada (Minister of Citizenship and Immigration</w:t>
      </w:r>
      <w:r w:rsidRPr="002729CA">
        <w:rPr>
          <w:rFonts w:asciiTheme="majorBidi" w:hAnsiTheme="majorBidi" w:cstheme="majorBidi"/>
        </w:rPr>
        <w:t>), 2018 FC 1203 at para 98</w:t>
      </w:r>
      <w:r>
        <w:rPr>
          <w:rFonts w:asciiTheme="majorBidi" w:hAnsiTheme="majorBidi" w:cstheme="majorBidi"/>
          <w:i/>
          <w:iCs/>
        </w:rPr>
        <w:t>.</w:t>
      </w:r>
    </w:p>
    <w:p w14:paraId="371CF2FA" w14:textId="77777777" w:rsidR="00B96C81" w:rsidRPr="002729CA" w:rsidRDefault="00B96C81" w:rsidP="002729CA">
      <w:pPr>
        <w:rPr>
          <w:rFonts w:asciiTheme="majorBidi" w:hAnsiTheme="majorBidi" w:cstheme="majorBidi"/>
        </w:rPr>
      </w:pPr>
    </w:p>
    <w:p w14:paraId="0BB99F4B" w14:textId="011D1E7A" w:rsidR="00AB5F00" w:rsidRDefault="008363DB" w:rsidP="007152B4">
      <w:pPr>
        <w:pStyle w:val="ListParagraph"/>
        <w:numPr>
          <w:ilvl w:val="0"/>
          <w:numId w:val="1"/>
        </w:numPr>
        <w:spacing w:line="480" w:lineRule="auto"/>
        <w:ind w:left="0" w:firstLine="0"/>
        <w:jc w:val="both"/>
        <w:rPr>
          <w:lang w:eastAsia="en-US"/>
        </w:rPr>
      </w:pPr>
      <w:r>
        <w:rPr>
          <w:lang w:eastAsia="en-US"/>
        </w:rPr>
        <w:t>Question (2) asks</w:t>
      </w:r>
      <w:r w:rsidR="00745CBA">
        <w:rPr>
          <w:lang w:eastAsia="en-US"/>
        </w:rPr>
        <w:t xml:space="preserve"> if evidence of duress can negate a finding of membership under s. 34(1)(f). </w:t>
      </w:r>
      <w:r w:rsidR="00AB5F00" w:rsidRPr="007B41E8">
        <w:rPr>
          <w:lang w:eastAsia="en-US"/>
        </w:rPr>
        <w:t xml:space="preserve">The law around duress in the context of inadmissibility, </w:t>
      </w:r>
      <w:r w:rsidR="007914D3" w:rsidRPr="007B41E8">
        <w:rPr>
          <w:lang w:eastAsia="en-US"/>
        </w:rPr>
        <w:t xml:space="preserve">and in </w:t>
      </w:r>
      <w:r w:rsidR="00AB5F00" w:rsidRPr="007B41E8">
        <w:rPr>
          <w:lang w:eastAsia="en-US"/>
        </w:rPr>
        <w:t xml:space="preserve">particular the </w:t>
      </w:r>
      <w:r w:rsidR="007914D3" w:rsidRPr="007B41E8">
        <w:rPr>
          <w:lang w:eastAsia="en-US"/>
        </w:rPr>
        <w:t>availability of</w:t>
      </w:r>
      <w:r w:rsidR="00AB5F00" w:rsidRPr="007B41E8">
        <w:rPr>
          <w:lang w:eastAsia="en-US"/>
        </w:rPr>
        <w:t xml:space="preserve"> duress </w:t>
      </w:r>
      <w:r w:rsidR="007914D3" w:rsidRPr="007B41E8">
        <w:rPr>
          <w:lang w:eastAsia="en-US"/>
        </w:rPr>
        <w:t xml:space="preserve">as a defence </w:t>
      </w:r>
      <w:r w:rsidR="00AB5F00" w:rsidRPr="007B41E8">
        <w:rPr>
          <w:lang w:eastAsia="en-US"/>
        </w:rPr>
        <w:t>to defeat membership</w:t>
      </w:r>
      <w:r w:rsidR="007914D3" w:rsidRPr="007B41E8">
        <w:rPr>
          <w:lang w:eastAsia="en-US"/>
        </w:rPr>
        <w:t xml:space="preserve"> allegations</w:t>
      </w:r>
      <w:r w:rsidR="00932C4D" w:rsidRPr="007B41E8">
        <w:rPr>
          <w:lang w:eastAsia="en-US"/>
        </w:rPr>
        <w:t>,</w:t>
      </w:r>
      <w:r w:rsidR="00AB5F00" w:rsidRPr="007B41E8">
        <w:rPr>
          <w:lang w:eastAsia="en-US"/>
        </w:rPr>
        <w:t xml:space="preserve"> is well laid out.</w:t>
      </w:r>
    </w:p>
    <w:p w14:paraId="10DC7361" w14:textId="295FE3F0" w:rsidR="007152B4" w:rsidRPr="00F12612" w:rsidRDefault="007152B4" w:rsidP="007152B4">
      <w:pPr>
        <w:pStyle w:val="ListParagraph"/>
        <w:numPr>
          <w:ilvl w:val="0"/>
          <w:numId w:val="1"/>
        </w:numPr>
        <w:spacing w:line="480" w:lineRule="auto"/>
        <w:ind w:left="0" w:firstLine="0"/>
        <w:jc w:val="both"/>
        <w:rPr>
          <w:lang w:eastAsia="en-US"/>
        </w:rPr>
      </w:pPr>
      <w:r>
        <w:rPr>
          <w:lang w:eastAsia="en-US"/>
        </w:rPr>
        <w:t xml:space="preserve">In </w:t>
      </w:r>
      <w:r w:rsidRPr="002729CA">
        <w:rPr>
          <w:i/>
          <w:iCs/>
          <w:lang w:eastAsia="en-US"/>
        </w:rPr>
        <w:t>B006</w:t>
      </w:r>
      <w:r>
        <w:rPr>
          <w:lang w:eastAsia="en-US"/>
        </w:rPr>
        <w:t xml:space="preserve">, Justice Kane held that duress can be raised in the </w:t>
      </w:r>
      <w:r w:rsidR="00AD189A">
        <w:rPr>
          <w:lang w:eastAsia="en-US"/>
        </w:rPr>
        <w:t xml:space="preserve">context of a </w:t>
      </w:r>
      <w:r>
        <w:rPr>
          <w:lang w:eastAsia="en-US"/>
        </w:rPr>
        <w:t xml:space="preserve">determination of inadmissibility. In coming to this conclusion, Justice Kane rejected the argument that the Federal Court of Appeal’s reasoning in </w:t>
      </w:r>
      <w:r w:rsidRPr="006605CA">
        <w:rPr>
          <w:i/>
          <w:iCs/>
          <w:lang w:eastAsia="en-US"/>
        </w:rPr>
        <w:t>Agraira</w:t>
      </w:r>
      <w:r>
        <w:rPr>
          <w:i/>
          <w:iCs/>
          <w:lang w:eastAsia="en-US"/>
        </w:rPr>
        <w:t xml:space="preserve"> </w:t>
      </w:r>
      <w:r w:rsidR="00336A83">
        <w:rPr>
          <w:lang w:eastAsia="en-US"/>
        </w:rPr>
        <w:t>means</w:t>
      </w:r>
      <w:r>
        <w:rPr>
          <w:lang w:eastAsia="en-US"/>
        </w:rPr>
        <w:t xml:space="preserve"> that duress can only be considered in an application for ministerial relief. </w:t>
      </w:r>
      <w:r w:rsidRPr="002729CA">
        <w:rPr>
          <w:i/>
          <w:iCs/>
          <w:lang w:eastAsia="en-US"/>
        </w:rPr>
        <w:t>Agraira</w:t>
      </w:r>
      <w:r>
        <w:rPr>
          <w:lang w:eastAsia="en-US"/>
        </w:rPr>
        <w:t xml:space="preserve"> does not </w:t>
      </w:r>
      <w:r w:rsidR="001763E3">
        <w:rPr>
          <w:lang w:eastAsia="en-US"/>
        </w:rPr>
        <w:t xml:space="preserve">rule </w:t>
      </w:r>
      <w:r w:rsidRPr="007152B4">
        <w:rPr>
          <w:lang w:eastAsia="en-US"/>
        </w:rPr>
        <w:t xml:space="preserve">out that coercion or duress could be raised in </w:t>
      </w:r>
      <w:r w:rsidR="00336A83">
        <w:rPr>
          <w:lang w:eastAsia="en-US"/>
        </w:rPr>
        <w:t xml:space="preserve">the context of a </w:t>
      </w:r>
      <w:r w:rsidR="00336A83" w:rsidRPr="007152B4">
        <w:rPr>
          <w:lang w:eastAsia="en-US"/>
        </w:rPr>
        <w:t>determin</w:t>
      </w:r>
      <w:r w:rsidR="00336A83">
        <w:rPr>
          <w:lang w:eastAsia="en-US"/>
        </w:rPr>
        <w:t>ation of</w:t>
      </w:r>
      <w:r w:rsidR="00336A83" w:rsidRPr="007152B4">
        <w:rPr>
          <w:lang w:eastAsia="en-US"/>
        </w:rPr>
        <w:t xml:space="preserve"> </w:t>
      </w:r>
      <w:r w:rsidRPr="007152B4">
        <w:rPr>
          <w:lang w:eastAsia="en-US"/>
        </w:rPr>
        <w:t>admissibility.</w:t>
      </w:r>
      <w:r w:rsidR="00E46685">
        <w:rPr>
          <w:lang w:eastAsia="en-US"/>
        </w:rPr>
        <w:t xml:space="preserve"> </w:t>
      </w:r>
      <w:r w:rsidR="00BE2CE7" w:rsidRPr="00F12612">
        <w:rPr>
          <w:lang w:eastAsia="en-US"/>
        </w:rPr>
        <w:t>Justice Kane took notice that</w:t>
      </w:r>
      <w:r w:rsidR="00E46685" w:rsidRPr="00F12612">
        <w:rPr>
          <w:lang w:eastAsia="en-US"/>
        </w:rPr>
        <w:t xml:space="preserve"> the defence of duress </w:t>
      </w:r>
      <w:r w:rsidR="00BE2CE7" w:rsidRPr="00F12612">
        <w:rPr>
          <w:lang w:eastAsia="en-US"/>
        </w:rPr>
        <w:t>“</w:t>
      </w:r>
      <w:r w:rsidR="00E46685" w:rsidRPr="00F12612">
        <w:rPr>
          <w:lang w:eastAsia="en-US"/>
        </w:rPr>
        <w:t>ha</w:t>
      </w:r>
      <w:r w:rsidR="00336A83" w:rsidRPr="00F12612">
        <w:rPr>
          <w:lang w:eastAsia="en-US"/>
        </w:rPr>
        <w:t>s</w:t>
      </w:r>
      <w:r w:rsidR="00E46685" w:rsidRPr="00F12612">
        <w:rPr>
          <w:lang w:eastAsia="en-US"/>
        </w:rPr>
        <w:t xml:space="preserve"> been raised </w:t>
      </w:r>
      <w:r w:rsidR="00336A83" w:rsidRPr="00F12612">
        <w:rPr>
          <w:lang w:eastAsia="en-US"/>
        </w:rPr>
        <w:t>in the</w:t>
      </w:r>
      <w:r w:rsidR="00E46685" w:rsidRPr="00F12612">
        <w:rPr>
          <w:lang w:eastAsia="en-US"/>
        </w:rPr>
        <w:t xml:space="preserve"> admissibility </w:t>
      </w:r>
      <w:r w:rsidR="00336A83" w:rsidRPr="00F12612">
        <w:rPr>
          <w:lang w:eastAsia="en-US"/>
        </w:rPr>
        <w:t xml:space="preserve">context </w:t>
      </w:r>
      <w:r w:rsidR="00E46685" w:rsidRPr="00F12612">
        <w:rPr>
          <w:lang w:eastAsia="en-US"/>
        </w:rPr>
        <w:t xml:space="preserve">and </w:t>
      </w:r>
      <w:r w:rsidR="00336A83" w:rsidRPr="00F12612">
        <w:rPr>
          <w:lang w:eastAsia="en-US"/>
        </w:rPr>
        <w:t xml:space="preserve">has </w:t>
      </w:r>
      <w:r w:rsidR="00E46685" w:rsidRPr="00F12612">
        <w:rPr>
          <w:lang w:eastAsia="en-US"/>
        </w:rPr>
        <w:t xml:space="preserve">been considered by the Federal Court </w:t>
      </w:r>
      <w:r w:rsidR="0036291D" w:rsidRPr="00F12612">
        <w:rPr>
          <w:lang w:eastAsia="en-US"/>
        </w:rPr>
        <w:t>o</w:t>
      </w:r>
      <w:r w:rsidR="00E46685" w:rsidRPr="00F12612">
        <w:rPr>
          <w:lang w:eastAsia="en-US"/>
        </w:rPr>
        <w:t xml:space="preserve">n </w:t>
      </w:r>
      <w:r w:rsidR="0036291D" w:rsidRPr="00F12612">
        <w:rPr>
          <w:lang w:eastAsia="en-US"/>
        </w:rPr>
        <w:t>several occasions</w:t>
      </w:r>
      <w:r w:rsidR="00E46685" w:rsidRPr="00F12612">
        <w:rPr>
          <w:lang w:eastAsia="en-US"/>
        </w:rPr>
        <w:t>.</w:t>
      </w:r>
      <w:r w:rsidR="00BE2CE7" w:rsidRPr="00F12612">
        <w:rPr>
          <w:lang w:eastAsia="en-US"/>
        </w:rPr>
        <w:t>”</w:t>
      </w:r>
      <w:r w:rsidR="0036291D" w:rsidRPr="00F12612">
        <w:rPr>
          <w:lang w:eastAsia="en-US"/>
        </w:rPr>
        <w:t xml:space="preserve"> </w:t>
      </w:r>
      <w:r w:rsidR="007B41E8" w:rsidRPr="00F12612">
        <w:rPr>
          <w:lang w:eastAsia="en-US"/>
        </w:rPr>
        <w:t xml:space="preserve">For example, in </w:t>
      </w:r>
      <w:r w:rsidR="00251B5F" w:rsidRPr="00F12612">
        <w:rPr>
          <w:i/>
          <w:iCs/>
          <w:lang w:eastAsia="en-US"/>
        </w:rPr>
        <w:t>Ghaffari</w:t>
      </w:r>
      <w:r w:rsidR="00251B5F" w:rsidRPr="00F12612">
        <w:rPr>
          <w:lang w:eastAsia="en-US"/>
        </w:rPr>
        <w:t>, Justice Phelan held that officer had erred in rejecting the defence of duress during an inadmissibility determination.</w:t>
      </w:r>
    </w:p>
    <w:p w14:paraId="068476F8" w14:textId="2091F543" w:rsidR="007152B4" w:rsidRPr="002729CA" w:rsidRDefault="007152B4" w:rsidP="007152B4">
      <w:pPr>
        <w:pStyle w:val="ListParagraph"/>
        <w:rPr>
          <w:rFonts w:asciiTheme="majorBidi" w:hAnsiTheme="majorBidi" w:cstheme="majorBidi"/>
          <w:i/>
          <w:iCs/>
        </w:rPr>
      </w:pPr>
      <w:r w:rsidRPr="002729CA">
        <w:rPr>
          <w:rFonts w:asciiTheme="majorBidi" w:hAnsiTheme="majorBidi" w:cstheme="majorBidi"/>
          <w:i/>
          <w:iCs/>
        </w:rPr>
        <w:t>B006 v Canada (Citizenship and Immigration)</w:t>
      </w:r>
      <w:r w:rsidRPr="002729CA">
        <w:rPr>
          <w:rFonts w:asciiTheme="majorBidi" w:hAnsiTheme="majorBidi" w:cstheme="majorBidi"/>
        </w:rPr>
        <w:t xml:space="preserve">, 2013 FC 1033 at paras </w:t>
      </w:r>
      <w:r>
        <w:rPr>
          <w:rFonts w:asciiTheme="majorBidi" w:hAnsiTheme="majorBidi" w:cstheme="majorBidi"/>
        </w:rPr>
        <w:t>98-10</w:t>
      </w:r>
      <w:r w:rsidR="00BE2CE7">
        <w:rPr>
          <w:rFonts w:asciiTheme="majorBidi" w:hAnsiTheme="majorBidi" w:cstheme="majorBidi"/>
        </w:rPr>
        <w:t>4</w:t>
      </w:r>
      <w:r w:rsidR="00320611">
        <w:rPr>
          <w:rFonts w:asciiTheme="majorBidi" w:hAnsiTheme="majorBidi" w:cstheme="majorBidi"/>
        </w:rPr>
        <w:t xml:space="preserve"> [</w:t>
      </w:r>
      <w:r w:rsidR="00320611">
        <w:rPr>
          <w:rFonts w:asciiTheme="majorBidi" w:hAnsiTheme="majorBidi" w:cstheme="majorBidi"/>
          <w:i/>
          <w:iCs/>
        </w:rPr>
        <w:t>B006</w:t>
      </w:r>
      <w:r w:rsidR="00320611">
        <w:rPr>
          <w:rFonts w:asciiTheme="majorBidi" w:hAnsiTheme="majorBidi" w:cstheme="majorBidi"/>
        </w:rPr>
        <w:t>]</w:t>
      </w:r>
      <w:r w:rsidR="00BE2CE7">
        <w:rPr>
          <w:rFonts w:asciiTheme="majorBidi" w:hAnsiTheme="majorBidi" w:cstheme="majorBidi"/>
        </w:rPr>
        <w:t>.</w:t>
      </w:r>
    </w:p>
    <w:p w14:paraId="036F7E87" w14:textId="5414EF0B" w:rsidR="007152B4" w:rsidRDefault="007152B4" w:rsidP="007152B4">
      <w:pPr>
        <w:pStyle w:val="ListParagraph"/>
        <w:rPr>
          <w:rFonts w:asciiTheme="majorBidi" w:hAnsiTheme="majorBidi" w:cstheme="majorBidi"/>
          <w:i/>
          <w:iCs/>
        </w:rPr>
      </w:pPr>
      <w:r w:rsidRPr="007152B4">
        <w:rPr>
          <w:rFonts w:asciiTheme="majorBidi" w:hAnsiTheme="majorBidi" w:cstheme="majorBidi"/>
          <w:i/>
          <w:iCs/>
        </w:rPr>
        <w:t xml:space="preserve">Agraira v Canada (Public Safety and Emergency Preparedness), </w:t>
      </w:r>
      <w:r w:rsidRPr="002729CA">
        <w:rPr>
          <w:rFonts w:asciiTheme="majorBidi" w:hAnsiTheme="majorBidi" w:cstheme="majorBidi"/>
        </w:rPr>
        <w:t>2011 FCA 103 at para 64</w:t>
      </w:r>
      <w:r>
        <w:rPr>
          <w:rFonts w:asciiTheme="majorBidi" w:hAnsiTheme="majorBidi" w:cstheme="majorBidi"/>
          <w:i/>
          <w:iCs/>
        </w:rPr>
        <w:t>.</w:t>
      </w:r>
    </w:p>
    <w:p w14:paraId="38AF9786" w14:textId="1D7145CC" w:rsidR="00251B5F" w:rsidRDefault="00251B5F" w:rsidP="007152B4">
      <w:pPr>
        <w:pStyle w:val="ListParagraph"/>
        <w:rPr>
          <w:rFonts w:asciiTheme="majorBidi" w:hAnsiTheme="majorBidi" w:cstheme="majorBidi"/>
          <w:i/>
          <w:iCs/>
        </w:rPr>
      </w:pPr>
      <w:r w:rsidRPr="00251B5F">
        <w:rPr>
          <w:rFonts w:asciiTheme="majorBidi" w:hAnsiTheme="majorBidi" w:cstheme="majorBidi"/>
          <w:i/>
          <w:iCs/>
        </w:rPr>
        <w:t xml:space="preserve">Ghaffari v Canada (Minister of Citizenship and Immigration), </w:t>
      </w:r>
      <w:r w:rsidRPr="00251B5F">
        <w:rPr>
          <w:rFonts w:asciiTheme="majorBidi" w:hAnsiTheme="majorBidi" w:cstheme="majorBidi"/>
        </w:rPr>
        <w:t>2013 FC 674</w:t>
      </w:r>
      <w:r w:rsidR="00D42A51">
        <w:rPr>
          <w:rFonts w:asciiTheme="majorBidi" w:hAnsiTheme="majorBidi" w:cstheme="majorBidi"/>
        </w:rPr>
        <w:t xml:space="preserve"> [</w:t>
      </w:r>
      <w:r w:rsidR="00D42A51" w:rsidRPr="00D42A51">
        <w:rPr>
          <w:rFonts w:asciiTheme="majorBidi" w:hAnsiTheme="majorBidi" w:cstheme="majorBidi"/>
          <w:i/>
          <w:iCs/>
        </w:rPr>
        <w:t>Ghaffari</w:t>
      </w:r>
      <w:r w:rsidR="00D42A51">
        <w:rPr>
          <w:rFonts w:asciiTheme="majorBidi" w:hAnsiTheme="majorBidi" w:cstheme="majorBidi"/>
        </w:rPr>
        <w:t>]</w:t>
      </w:r>
      <w:r>
        <w:rPr>
          <w:rFonts w:asciiTheme="majorBidi" w:hAnsiTheme="majorBidi" w:cstheme="majorBidi"/>
        </w:rPr>
        <w:t>.</w:t>
      </w:r>
    </w:p>
    <w:p w14:paraId="06781543" w14:textId="77777777" w:rsidR="007152B4" w:rsidRPr="002729CA" w:rsidRDefault="007152B4" w:rsidP="002729CA">
      <w:pPr>
        <w:pStyle w:val="ListParagraph"/>
        <w:rPr>
          <w:rFonts w:asciiTheme="majorBidi" w:hAnsiTheme="majorBidi" w:cstheme="majorBidi"/>
          <w:i/>
          <w:iCs/>
        </w:rPr>
      </w:pPr>
    </w:p>
    <w:p w14:paraId="3B59551E" w14:textId="7770BC56" w:rsidR="00AB5F00" w:rsidRDefault="00AB5F00" w:rsidP="00B452A1">
      <w:pPr>
        <w:pStyle w:val="ListParagraph"/>
        <w:numPr>
          <w:ilvl w:val="0"/>
          <w:numId w:val="1"/>
        </w:numPr>
        <w:spacing w:line="480" w:lineRule="auto"/>
        <w:ind w:left="0" w:firstLine="0"/>
        <w:jc w:val="both"/>
        <w:rPr>
          <w:lang w:eastAsia="en-US"/>
        </w:rPr>
      </w:pPr>
      <w:r>
        <w:rPr>
          <w:lang w:eastAsia="en-US"/>
        </w:rPr>
        <w:t xml:space="preserve">The Federal Court has consistently held that duress and membership are interrelated and should be considered together. </w:t>
      </w:r>
      <w:r w:rsidR="00966CB6">
        <w:rPr>
          <w:lang w:eastAsia="en-US"/>
        </w:rPr>
        <w:t>It is trite law in both Canadian criminal law</w:t>
      </w:r>
      <w:r w:rsidR="009229F6">
        <w:rPr>
          <w:lang w:eastAsia="en-US"/>
        </w:rPr>
        <w:t>, and the common law</w:t>
      </w:r>
      <w:r w:rsidR="001946B4">
        <w:rPr>
          <w:lang w:eastAsia="en-US"/>
        </w:rPr>
        <w:t xml:space="preserve"> </w:t>
      </w:r>
      <w:r w:rsidR="009229F6">
        <w:rPr>
          <w:lang w:eastAsia="en-US"/>
        </w:rPr>
        <w:t>more generally,</w:t>
      </w:r>
      <w:r w:rsidR="00966CB6">
        <w:rPr>
          <w:lang w:eastAsia="en-US"/>
        </w:rPr>
        <w:t xml:space="preserve"> that duress is an excuse for the commission of a wrongful act</w:t>
      </w:r>
      <w:r w:rsidR="00C71AE5">
        <w:rPr>
          <w:lang w:eastAsia="en-US"/>
        </w:rPr>
        <w:t>.</w:t>
      </w:r>
      <w:r w:rsidR="00966CB6">
        <w:rPr>
          <w:lang w:eastAsia="en-US"/>
        </w:rPr>
        <w:t xml:space="preserve"> </w:t>
      </w:r>
      <w:r w:rsidR="00C71AE5">
        <w:rPr>
          <w:lang w:eastAsia="en-US"/>
        </w:rPr>
        <w:t>A</w:t>
      </w:r>
      <w:r w:rsidR="00966CB6">
        <w:rPr>
          <w:lang w:eastAsia="en-US"/>
        </w:rPr>
        <w:t xml:space="preserve">n individual should not be held liable for acts that are not </w:t>
      </w:r>
      <w:r w:rsidR="00336A83">
        <w:rPr>
          <w:lang w:eastAsia="en-US"/>
        </w:rPr>
        <w:t xml:space="preserve">carried out </w:t>
      </w:r>
      <w:r w:rsidR="00966CB6">
        <w:rPr>
          <w:lang w:eastAsia="en-US"/>
        </w:rPr>
        <w:t xml:space="preserve">of their </w:t>
      </w:r>
      <w:r w:rsidR="00336A83">
        <w:rPr>
          <w:lang w:eastAsia="en-US"/>
        </w:rPr>
        <w:t xml:space="preserve">own </w:t>
      </w:r>
      <w:r w:rsidR="00966CB6">
        <w:rPr>
          <w:lang w:eastAsia="en-US"/>
        </w:rPr>
        <w:t>free will.</w:t>
      </w:r>
    </w:p>
    <w:p w14:paraId="70636C03" w14:textId="6AF7C0A4" w:rsidR="00AB5F00" w:rsidRDefault="00AB5F00" w:rsidP="002373DC">
      <w:pPr>
        <w:pStyle w:val="ListParagraph"/>
        <w:rPr>
          <w:rFonts w:asciiTheme="majorBidi" w:hAnsiTheme="majorBidi" w:cstheme="majorBidi"/>
        </w:rPr>
      </w:pPr>
      <w:r>
        <w:rPr>
          <w:rFonts w:asciiTheme="majorBidi" w:hAnsiTheme="majorBidi" w:cstheme="majorBidi"/>
          <w:i/>
          <w:iCs/>
        </w:rPr>
        <w:t>Chowdhury</w:t>
      </w:r>
      <w:r w:rsidRPr="00E90A3B">
        <w:rPr>
          <w:rFonts w:asciiTheme="majorBidi" w:hAnsiTheme="majorBidi" w:cstheme="majorBidi"/>
          <w:i/>
          <w:iCs/>
        </w:rPr>
        <w:t xml:space="preserve">, </w:t>
      </w:r>
      <w:r>
        <w:rPr>
          <w:rFonts w:asciiTheme="majorBidi" w:hAnsiTheme="majorBidi" w:cstheme="majorBidi"/>
          <w:i/>
          <w:iCs/>
        </w:rPr>
        <w:t>supra</w:t>
      </w:r>
      <w:r w:rsidRPr="00E90A3B">
        <w:rPr>
          <w:rFonts w:asciiTheme="majorBidi" w:hAnsiTheme="majorBidi" w:cstheme="majorBidi"/>
          <w:i/>
          <w:iCs/>
        </w:rPr>
        <w:t xml:space="preserve"> </w:t>
      </w:r>
      <w:r w:rsidR="00215636">
        <w:rPr>
          <w:rFonts w:asciiTheme="majorBidi" w:hAnsiTheme="majorBidi" w:cstheme="majorBidi"/>
        </w:rPr>
        <w:t xml:space="preserve">para 15 </w:t>
      </w:r>
      <w:r w:rsidRPr="00A9790B">
        <w:rPr>
          <w:rFonts w:asciiTheme="majorBidi" w:hAnsiTheme="majorBidi" w:cstheme="majorBidi"/>
        </w:rPr>
        <w:t>at paras 14</w:t>
      </w:r>
      <w:r w:rsidR="00215636">
        <w:rPr>
          <w:rFonts w:asciiTheme="majorBidi" w:hAnsiTheme="majorBidi" w:cstheme="majorBidi"/>
        </w:rPr>
        <w:t>-</w:t>
      </w:r>
      <w:r w:rsidRPr="00A9790B">
        <w:rPr>
          <w:rFonts w:asciiTheme="majorBidi" w:hAnsiTheme="majorBidi" w:cstheme="majorBidi"/>
        </w:rPr>
        <w:t>16.</w:t>
      </w:r>
    </w:p>
    <w:p w14:paraId="31AB8A77" w14:textId="77777777" w:rsidR="00AB5F00" w:rsidRDefault="00AB5F00" w:rsidP="002373DC">
      <w:pPr>
        <w:pStyle w:val="ListParagraph"/>
        <w:rPr>
          <w:lang w:eastAsia="en-US"/>
        </w:rPr>
      </w:pPr>
    </w:p>
    <w:p w14:paraId="7FBDCD54" w14:textId="7FF1FF17" w:rsidR="003C2F64" w:rsidRDefault="00AB5F00" w:rsidP="00B452A1">
      <w:pPr>
        <w:pStyle w:val="ListParagraph"/>
        <w:numPr>
          <w:ilvl w:val="0"/>
          <w:numId w:val="1"/>
        </w:numPr>
        <w:spacing w:line="480" w:lineRule="auto"/>
        <w:ind w:left="0" w:firstLine="0"/>
        <w:jc w:val="both"/>
        <w:rPr>
          <w:lang w:eastAsia="en-US"/>
        </w:rPr>
      </w:pPr>
      <w:r>
        <w:rPr>
          <w:lang w:eastAsia="en-US"/>
        </w:rPr>
        <w:t>I</w:t>
      </w:r>
      <w:r w:rsidR="004872BB">
        <w:rPr>
          <w:lang w:eastAsia="en-US"/>
        </w:rPr>
        <w:t xml:space="preserve">t is an established principle that evidence of duress can be relied on to defeat evidence of membership. </w:t>
      </w:r>
      <w:r w:rsidR="003C2F64">
        <w:rPr>
          <w:lang w:eastAsia="en-US"/>
        </w:rPr>
        <w:t xml:space="preserve">In </w:t>
      </w:r>
      <w:r w:rsidR="000E7987" w:rsidRPr="000E7987">
        <w:rPr>
          <w:i/>
          <w:iCs/>
        </w:rPr>
        <w:t>Thiyagarajh</w:t>
      </w:r>
      <w:r w:rsidR="003C2F64">
        <w:rPr>
          <w:lang w:eastAsia="en-US"/>
        </w:rPr>
        <w:t xml:space="preserve">, for example, the Federal Court </w:t>
      </w:r>
      <w:r w:rsidR="000E7987">
        <w:rPr>
          <w:lang w:eastAsia="en-US"/>
        </w:rPr>
        <w:t>affirmed the principle that an a</w:t>
      </w:r>
      <w:r w:rsidR="000E7987" w:rsidRPr="000E7987">
        <w:rPr>
          <w:lang w:eastAsia="en-US"/>
        </w:rPr>
        <w:t xml:space="preserve">pplicant </w:t>
      </w:r>
      <w:r w:rsidR="000E7987">
        <w:rPr>
          <w:lang w:eastAsia="en-US"/>
        </w:rPr>
        <w:t>“</w:t>
      </w:r>
      <w:r w:rsidR="000E7987" w:rsidRPr="000E7987">
        <w:rPr>
          <w:lang w:eastAsia="en-US"/>
        </w:rPr>
        <w:t>could be excused for his actions if he could show that he acted to avoid imminent peril</w:t>
      </w:r>
      <w:r w:rsidR="000E7987">
        <w:rPr>
          <w:lang w:eastAsia="en-US"/>
        </w:rPr>
        <w:t>”</w:t>
      </w:r>
      <w:r w:rsidR="00151461">
        <w:rPr>
          <w:lang w:eastAsia="en-US"/>
        </w:rPr>
        <w:t xml:space="preserve"> in </w:t>
      </w:r>
      <w:r w:rsidR="00336A83">
        <w:rPr>
          <w:lang w:eastAsia="en-US"/>
        </w:rPr>
        <w:t xml:space="preserve">a </w:t>
      </w:r>
      <w:r w:rsidR="00151461">
        <w:rPr>
          <w:lang w:eastAsia="en-US"/>
        </w:rPr>
        <w:t>finding of membership.</w:t>
      </w:r>
    </w:p>
    <w:p w14:paraId="22354315" w14:textId="22A46B26" w:rsidR="000E7987" w:rsidRPr="007152B4" w:rsidRDefault="000E7987" w:rsidP="007152B4">
      <w:pPr>
        <w:pStyle w:val="ListParagraph"/>
      </w:pPr>
      <w:r w:rsidRPr="001B6B33">
        <w:rPr>
          <w:i/>
          <w:iCs/>
        </w:rPr>
        <w:t>Thiyagarajah v Canada (Minister of Citizenship and Immigration)</w:t>
      </w:r>
      <w:r w:rsidRPr="000E7987">
        <w:t>, 2011 FC 339</w:t>
      </w:r>
      <w:r>
        <w:t xml:space="preserve"> at para 11</w:t>
      </w:r>
      <w:r w:rsidR="004A7763">
        <w:t xml:space="preserve"> [</w:t>
      </w:r>
      <w:r w:rsidR="004A7763" w:rsidRPr="001B6B33">
        <w:rPr>
          <w:i/>
          <w:iCs/>
        </w:rPr>
        <w:t>Thiyagarajah</w:t>
      </w:r>
      <w:r w:rsidR="004A7763">
        <w:t>]</w:t>
      </w:r>
      <w:r>
        <w:t>.</w:t>
      </w:r>
    </w:p>
    <w:p w14:paraId="78C8F304" w14:textId="77777777" w:rsidR="00075D82" w:rsidRPr="00075D82" w:rsidRDefault="00075D82" w:rsidP="00075D82">
      <w:pPr>
        <w:pStyle w:val="ListParagraph"/>
        <w:rPr>
          <w:rFonts w:asciiTheme="majorBidi" w:hAnsiTheme="majorBidi" w:cstheme="majorBidi"/>
        </w:rPr>
      </w:pPr>
    </w:p>
    <w:p w14:paraId="1859348A" w14:textId="0B53A6E0" w:rsidR="00755446" w:rsidRDefault="00336A83" w:rsidP="00755446">
      <w:pPr>
        <w:pStyle w:val="ListParagraph"/>
        <w:numPr>
          <w:ilvl w:val="0"/>
          <w:numId w:val="1"/>
        </w:numPr>
        <w:spacing w:line="480" w:lineRule="auto"/>
        <w:ind w:left="0" w:firstLine="0"/>
        <w:jc w:val="both"/>
        <w:rPr>
          <w:lang w:eastAsia="en-US"/>
        </w:rPr>
      </w:pPr>
      <w:r>
        <w:rPr>
          <w:lang w:eastAsia="en-US"/>
        </w:rPr>
        <w:t>In short, t</w:t>
      </w:r>
      <w:r w:rsidR="001946B4">
        <w:rPr>
          <w:lang w:eastAsia="en-US"/>
        </w:rPr>
        <w:t xml:space="preserve">he issue raised by </w:t>
      </w:r>
      <w:r w:rsidR="00755446">
        <w:rPr>
          <w:lang w:eastAsia="en-US"/>
        </w:rPr>
        <w:t xml:space="preserve">Question (2) </w:t>
      </w:r>
      <w:r w:rsidR="00BB0832">
        <w:rPr>
          <w:lang w:eastAsia="en-US"/>
        </w:rPr>
        <w:t>is settled</w:t>
      </w:r>
      <w:r w:rsidR="00151461">
        <w:rPr>
          <w:lang w:eastAsia="en-US"/>
        </w:rPr>
        <w:t xml:space="preserve"> in law</w:t>
      </w:r>
      <w:r w:rsidR="00BB0832">
        <w:rPr>
          <w:lang w:eastAsia="en-US"/>
        </w:rPr>
        <w:t>.</w:t>
      </w:r>
      <w:r w:rsidR="00755446">
        <w:rPr>
          <w:lang w:eastAsia="en-US"/>
        </w:rPr>
        <w:t xml:space="preserve"> </w:t>
      </w:r>
      <w:r>
        <w:rPr>
          <w:lang w:eastAsia="en-US"/>
        </w:rPr>
        <w:t>E</w:t>
      </w:r>
      <w:r w:rsidR="000E7987">
        <w:rPr>
          <w:lang w:eastAsia="en-US"/>
        </w:rPr>
        <w:t xml:space="preserve">vidence of duress is relevant </w:t>
      </w:r>
      <w:r>
        <w:rPr>
          <w:lang w:eastAsia="en-US"/>
        </w:rPr>
        <w:t>to</w:t>
      </w:r>
      <w:r w:rsidR="000E7987">
        <w:rPr>
          <w:lang w:eastAsia="en-US"/>
        </w:rPr>
        <w:t xml:space="preserve"> an inadmissibility determination. </w:t>
      </w:r>
      <w:r>
        <w:t>E</w:t>
      </w:r>
      <w:r w:rsidR="000E7987" w:rsidRPr="00EB56E0">
        <w:t xml:space="preserve">vidence of duress </w:t>
      </w:r>
      <w:r w:rsidR="000E7987">
        <w:t xml:space="preserve">can </w:t>
      </w:r>
      <w:r w:rsidR="000E7987" w:rsidRPr="00EB56E0">
        <w:t>negate a finding of membership</w:t>
      </w:r>
      <w:r w:rsidR="000E7987">
        <w:t>.</w:t>
      </w:r>
      <w:r w:rsidR="000E7987" w:rsidRPr="00EB56E0">
        <w:t xml:space="preserve"> </w:t>
      </w:r>
      <w:r w:rsidR="00C95D65">
        <w:rPr>
          <w:lang w:eastAsia="en-US"/>
        </w:rPr>
        <w:t>With well-established rules on the issue raised, q</w:t>
      </w:r>
      <w:r w:rsidR="00BB0832">
        <w:rPr>
          <w:lang w:eastAsia="en-US"/>
        </w:rPr>
        <w:t>uestion (2)</w:t>
      </w:r>
      <w:r w:rsidR="00755446">
        <w:rPr>
          <w:lang w:eastAsia="en-US"/>
        </w:rPr>
        <w:t xml:space="preserve"> was not properly certified.</w:t>
      </w:r>
    </w:p>
    <w:p w14:paraId="2DA88089" w14:textId="0AE4B3B4" w:rsidR="00BB0832" w:rsidRDefault="003A385A" w:rsidP="005436EE">
      <w:pPr>
        <w:pStyle w:val="ListParagraph"/>
        <w:numPr>
          <w:ilvl w:val="0"/>
          <w:numId w:val="20"/>
        </w:numPr>
        <w:rPr>
          <w:b/>
          <w:bCs/>
          <w:i/>
          <w:iCs/>
        </w:rPr>
      </w:pPr>
      <w:r>
        <w:rPr>
          <w:b/>
          <w:bCs/>
          <w:i/>
          <w:iCs/>
        </w:rPr>
        <w:t>The appeal should be dismissed in the absence of a valid certified question</w:t>
      </w:r>
    </w:p>
    <w:p w14:paraId="02CEB42C" w14:textId="77777777" w:rsidR="005436EE" w:rsidRPr="005436EE" w:rsidRDefault="005436EE" w:rsidP="005436EE">
      <w:pPr>
        <w:pStyle w:val="ListParagraph"/>
        <w:rPr>
          <w:b/>
          <w:bCs/>
          <w:i/>
          <w:iCs/>
        </w:rPr>
      </w:pPr>
    </w:p>
    <w:p w14:paraId="685A5084" w14:textId="39E9946E" w:rsidR="00F603A9" w:rsidRDefault="00E21972" w:rsidP="00EB56E0">
      <w:pPr>
        <w:pStyle w:val="ListParagraph"/>
        <w:numPr>
          <w:ilvl w:val="0"/>
          <w:numId w:val="1"/>
        </w:numPr>
        <w:spacing w:line="480" w:lineRule="auto"/>
        <w:ind w:left="0" w:firstLine="0"/>
        <w:jc w:val="both"/>
        <w:rPr>
          <w:lang w:eastAsia="en-US"/>
        </w:rPr>
      </w:pPr>
      <w:r>
        <w:rPr>
          <w:lang w:eastAsia="en-US"/>
        </w:rPr>
        <w:t>Neither of the questions were properly certified</w:t>
      </w:r>
      <w:r w:rsidR="001763E3">
        <w:rPr>
          <w:lang w:eastAsia="en-US"/>
        </w:rPr>
        <w:t xml:space="preserve"> in the case at bar</w:t>
      </w:r>
      <w:r>
        <w:rPr>
          <w:lang w:eastAsia="en-US"/>
        </w:rPr>
        <w:t xml:space="preserve">. In </w:t>
      </w:r>
      <w:r w:rsidRPr="002729CA">
        <w:rPr>
          <w:i/>
          <w:iCs/>
          <w:lang w:eastAsia="en-US"/>
        </w:rPr>
        <w:t>Lopes</w:t>
      </w:r>
      <w:r>
        <w:rPr>
          <w:lang w:eastAsia="en-US"/>
        </w:rPr>
        <w:t xml:space="preserve">, the Federal Court declined to answer an improperly certified question and dismissed the appeal. </w:t>
      </w:r>
      <w:r w:rsidR="003A385A">
        <w:rPr>
          <w:lang w:eastAsia="en-US"/>
        </w:rPr>
        <w:t>In the same vein, t</w:t>
      </w:r>
      <w:r w:rsidR="006C4784">
        <w:rPr>
          <w:lang w:eastAsia="en-US"/>
        </w:rPr>
        <w:t>his appeal should be dismissed in the absence of a valid certified question.</w:t>
      </w:r>
    </w:p>
    <w:p w14:paraId="38CCEEAC" w14:textId="0FB71954" w:rsidR="00F603A9" w:rsidRDefault="00F603A9" w:rsidP="002729CA">
      <w:pPr>
        <w:pStyle w:val="ListParagraph"/>
        <w:rPr>
          <w:rFonts w:asciiTheme="majorBidi" w:hAnsiTheme="majorBidi" w:cstheme="majorBidi"/>
        </w:rPr>
      </w:pPr>
      <w:r w:rsidRPr="00157D20">
        <w:rPr>
          <w:rFonts w:asciiTheme="majorBidi" w:hAnsiTheme="majorBidi" w:cstheme="majorBidi"/>
          <w:i/>
          <w:iCs/>
        </w:rPr>
        <w:t>Lopes v Canada (Minister of Citizenship and Immigration)</w:t>
      </w:r>
      <w:r>
        <w:rPr>
          <w:rFonts w:asciiTheme="majorBidi" w:hAnsiTheme="majorBidi" w:cstheme="majorBidi"/>
        </w:rPr>
        <w:t xml:space="preserve">, </w:t>
      </w:r>
      <w:r w:rsidRPr="00157D20">
        <w:rPr>
          <w:rFonts w:asciiTheme="majorBidi" w:hAnsiTheme="majorBidi" w:cstheme="majorBidi"/>
        </w:rPr>
        <w:t>2012 FCA 25</w:t>
      </w:r>
      <w:r>
        <w:rPr>
          <w:rFonts w:asciiTheme="majorBidi" w:hAnsiTheme="majorBidi" w:cstheme="majorBidi"/>
        </w:rPr>
        <w:t>.</w:t>
      </w:r>
    </w:p>
    <w:p w14:paraId="7C3F29D5" w14:textId="77777777" w:rsidR="00F603A9" w:rsidRPr="002729CA" w:rsidRDefault="00F603A9" w:rsidP="00D447AC">
      <w:pPr>
        <w:pStyle w:val="ListParagraph"/>
        <w:rPr>
          <w:rFonts w:asciiTheme="majorBidi" w:hAnsiTheme="majorBidi" w:cstheme="majorBidi"/>
        </w:rPr>
      </w:pPr>
    </w:p>
    <w:p w14:paraId="5011C9BF" w14:textId="6A8C90EE" w:rsidR="00D447AC" w:rsidRPr="0017447A" w:rsidRDefault="004838AC" w:rsidP="0017447A">
      <w:pPr>
        <w:pStyle w:val="ListParagraph"/>
        <w:numPr>
          <w:ilvl w:val="0"/>
          <w:numId w:val="27"/>
        </w:numPr>
        <w:spacing w:before="80" w:after="360"/>
        <w:ind w:left="426" w:hanging="426"/>
        <w:rPr>
          <w:b/>
          <w:bCs/>
          <w:u w:val="single"/>
        </w:rPr>
      </w:pPr>
      <w:r w:rsidRPr="004255C3">
        <w:rPr>
          <w:b/>
          <w:bCs/>
          <w:u w:val="single"/>
        </w:rPr>
        <w:t xml:space="preserve">The Federal Court </w:t>
      </w:r>
      <w:r w:rsidR="006662C3" w:rsidRPr="004255C3">
        <w:rPr>
          <w:b/>
          <w:bCs/>
          <w:u w:val="single"/>
        </w:rPr>
        <w:t>did not e</w:t>
      </w:r>
      <w:r w:rsidRPr="004255C3">
        <w:rPr>
          <w:b/>
          <w:bCs/>
          <w:u w:val="single"/>
        </w:rPr>
        <w:t xml:space="preserve">rr in </w:t>
      </w:r>
      <w:r w:rsidR="006662C3" w:rsidRPr="00F77B16">
        <w:rPr>
          <w:b/>
          <w:bCs/>
          <w:u w:val="single"/>
        </w:rPr>
        <w:t>f</w:t>
      </w:r>
      <w:r w:rsidR="00450282" w:rsidRPr="00F77B16">
        <w:rPr>
          <w:b/>
          <w:bCs/>
          <w:u w:val="single"/>
        </w:rPr>
        <w:t xml:space="preserve">inding </w:t>
      </w:r>
      <w:r w:rsidR="006662C3" w:rsidRPr="00F77B16">
        <w:rPr>
          <w:b/>
          <w:bCs/>
          <w:u w:val="single"/>
        </w:rPr>
        <w:t>t</w:t>
      </w:r>
      <w:r w:rsidR="00450282" w:rsidRPr="00F77B16">
        <w:rPr>
          <w:b/>
          <w:bCs/>
          <w:u w:val="single"/>
        </w:rPr>
        <w:t xml:space="preserve">hat the BNP </w:t>
      </w:r>
      <w:r w:rsidR="006662C3" w:rsidRPr="00F77B16">
        <w:rPr>
          <w:b/>
          <w:bCs/>
          <w:u w:val="single"/>
        </w:rPr>
        <w:t>does not f</w:t>
      </w:r>
      <w:r w:rsidR="00450282" w:rsidRPr="00F77B16">
        <w:rPr>
          <w:b/>
          <w:bCs/>
          <w:u w:val="single"/>
        </w:rPr>
        <w:t xml:space="preserve">all under s. 34(1)(b) </w:t>
      </w:r>
    </w:p>
    <w:p w14:paraId="2DA0FB6A" w14:textId="77777777" w:rsidR="00F77B16" w:rsidRPr="00F77B16" w:rsidRDefault="00F77B16" w:rsidP="00F77B16">
      <w:pPr>
        <w:pStyle w:val="ListParagraph"/>
        <w:spacing w:before="80" w:after="360"/>
        <w:ind w:left="284"/>
        <w:rPr>
          <w:b/>
          <w:bCs/>
          <w:color w:val="000000" w:themeColor="text1"/>
          <w:u w:val="single"/>
          <w:lang w:eastAsia="en-US"/>
        </w:rPr>
      </w:pPr>
    </w:p>
    <w:p w14:paraId="63443664" w14:textId="292A32F8" w:rsidR="00270F48" w:rsidRDefault="003A385A" w:rsidP="00270F48">
      <w:pPr>
        <w:pStyle w:val="ListParagraph"/>
        <w:numPr>
          <w:ilvl w:val="0"/>
          <w:numId w:val="1"/>
        </w:numPr>
        <w:spacing w:line="480" w:lineRule="auto"/>
        <w:ind w:left="0" w:firstLine="0"/>
        <w:jc w:val="both"/>
        <w:rPr>
          <w:lang w:eastAsia="en-US"/>
        </w:rPr>
      </w:pPr>
      <w:r w:rsidRPr="00BB70B0">
        <w:rPr>
          <w:lang w:eastAsia="en-US"/>
        </w:rPr>
        <w:t xml:space="preserve">In the alternative, if the Court finds that either or both of the questions were properly certified and this appeal is allowed to proceed, the Respondent </w:t>
      </w:r>
      <w:r w:rsidR="00000AE6" w:rsidRPr="00BB70B0">
        <w:rPr>
          <w:lang w:eastAsia="en-US"/>
        </w:rPr>
        <w:t>submits that t</w:t>
      </w:r>
      <w:r w:rsidR="00151461" w:rsidRPr="00BB70B0">
        <w:rPr>
          <w:lang w:eastAsia="en-US"/>
        </w:rPr>
        <w:t xml:space="preserve">he </w:t>
      </w:r>
      <w:r w:rsidR="00F26C59" w:rsidRPr="00BB70B0">
        <w:rPr>
          <w:lang w:eastAsia="en-US"/>
        </w:rPr>
        <w:t xml:space="preserve">Federal Court’s finding that the </w:t>
      </w:r>
      <w:r w:rsidR="00151461" w:rsidRPr="00BB70B0">
        <w:rPr>
          <w:lang w:eastAsia="en-US"/>
        </w:rPr>
        <w:t xml:space="preserve">BNP </w:t>
      </w:r>
      <w:r w:rsidR="00F26C59" w:rsidRPr="00BB70B0">
        <w:rPr>
          <w:lang w:eastAsia="en-US"/>
        </w:rPr>
        <w:t xml:space="preserve">does not </w:t>
      </w:r>
      <w:r w:rsidR="00151461" w:rsidRPr="00BB70B0">
        <w:rPr>
          <w:lang w:eastAsia="en-US"/>
        </w:rPr>
        <w:t>fall under s. 34(1)(b)</w:t>
      </w:r>
      <w:r w:rsidR="00F26C59" w:rsidRPr="00BB70B0">
        <w:rPr>
          <w:lang w:eastAsia="en-US"/>
        </w:rPr>
        <w:t xml:space="preserve"> should be upheld</w:t>
      </w:r>
      <w:r w:rsidR="00151461" w:rsidRPr="00BB70B0">
        <w:rPr>
          <w:lang w:eastAsia="en-US"/>
        </w:rPr>
        <w:t>.</w:t>
      </w:r>
    </w:p>
    <w:p w14:paraId="2FAE1FB4" w14:textId="1F33C6C9" w:rsidR="00270F48" w:rsidRDefault="00270F48" w:rsidP="00270F48">
      <w:pPr>
        <w:pStyle w:val="ListParagraph"/>
        <w:numPr>
          <w:ilvl w:val="0"/>
          <w:numId w:val="1"/>
        </w:numPr>
        <w:spacing w:line="480" w:lineRule="auto"/>
        <w:ind w:left="0" w:firstLine="0"/>
        <w:jc w:val="both"/>
        <w:rPr>
          <w:lang w:eastAsia="en-US"/>
        </w:rPr>
      </w:pPr>
      <w:r>
        <w:rPr>
          <w:lang w:eastAsia="en-US"/>
        </w:rPr>
        <w:t>Section 34(1)(b)</w:t>
      </w:r>
      <w:r w:rsidR="00151461" w:rsidRPr="00BB70B0">
        <w:rPr>
          <w:lang w:eastAsia="en-US"/>
        </w:rPr>
        <w:t xml:space="preserve"> </w:t>
      </w:r>
      <w:r>
        <w:rPr>
          <w:lang w:eastAsia="en-US"/>
        </w:rPr>
        <w:t xml:space="preserve">of the </w:t>
      </w:r>
      <w:r w:rsidRPr="00270F48">
        <w:rPr>
          <w:i/>
          <w:iCs/>
          <w:lang w:eastAsia="en-US"/>
        </w:rPr>
        <w:t>IRPA</w:t>
      </w:r>
      <w:r>
        <w:rPr>
          <w:lang w:eastAsia="en-US"/>
        </w:rPr>
        <w:t xml:space="preserve"> provides:</w:t>
      </w:r>
    </w:p>
    <w:p w14:paraId="18CD1E3E" w14:textId="4669339D" w:rsidR="00270F48" w:rsidRPr="00270F48" w:rsidRDefault="00270F48" w:rsidP="00270F48">
      <w:pPr>
        <w:pStyle w:val="ListParagraph"/>
        <w:ind w:left="1134" w:hanging="425"/>
        <w:jc w:val="both"/>
      </w:pPr>
      <w:r w:rsidRPr="00270F48">
        <w:rPr>
          <w:b/>
          <w:bCs/>
        </w:rPr>
        <w:t>34 (1)</w:t>
      </w:r>
      <w:r w:rsidRPr="00270F48">
        <w:t xml:space="preserve"> A permanent resident or a foreign national is inadmissible on security grounds for […]</w:t>
      </w:r>
    </w:p>
    <w:p w14:paraId="10515460" w14:textId="46899EC0" w:rsidR="00270F48" w:rsidRDefault="00270F48" w:rsidP="00270F48">
      <w:pPr>
        <w:pStyle w:val="ListParagraph"/>
        <w:ind w:left="1134" w:hanging="425"/>
        <w:jc w:val="both"/>
      </w:pPr>
      <w:r w:rsidRPr="00270F48">
        <w:rPr>
          <w:b/>
          <w:bCs/>
        </w:rPr>
        <w:t>(b)</w:t>
      </w:r>
      <w:r w:rsidRPr="00270F48">
        <w:t xml:space="preserve"> engaging in or instigating the subversion by force of any government; […]</w:t>
      </w:r>
    </w:p>
    <w:p w14:paraId="289BFA80" w14:textId="77777777" w:rsidR="00270F48" w:rsidRPr="00270F48" w:rsidRDefault="00270F48" w:rsidP="00270F48">
      <w:pPr>
        <w:pStyle w:val="ListParagraph"/>
        <w:ind w:left="1134" w:hanging="425"/>
        <w:jc w:val="both"/>
      </w:pPr>
    </w:p>
    <w:p w14:paraId="7E04B150" w14:textId="4F89EC97" w:rsidR="00F509AA" w:rsidRPr="00D30377" w:rsidRDefault="00F509AA" w:rsidP="005436EE">
      <w:pPr>
        <w:pStyle w:val="ListParagraph"/>
        <w:numPr>
          <w:ilvl w:val="0"/>
          <w:numId w:val="22"/>
        </w:numPr>
        <w:rPr>
          <w:b/>
          <w:bCs/>
          <w:i/>
          <w:iCs/>
        </w:rPr>
      </w:pPr>
      <w:r w:rsidRPr="00F509AA">
        <w:rPr>
          <w:b/>
          <w:bCs/>
          <w:i/>
          <w:iCs/>
        </w:rPr>
        <w:t xml:space="preserve">The </w:t>
      </w:r>
      <w:r>
        <w:rPr>
          <w:b/>
          <w:bCs/>
          <w:i/>
          <w:iCs/>
        </w:rPr>
        <w:t>Federal Court’s interpretation of s. 34(1)(b) is correct</w:t>
      </w:r>
    </w:p>
    <w:p w14:paraId="61B96759" w14:textId="77777777" w:rsidR="00F509AA" w:rsidRPr="00F509AA" w:rsidRDefault="00F509AA" w:rsidP="00F509AA">
      <w:pPr>
        <w:pStyle w:val="ListParagraph"/>
        <w:spacing w:before="80" w:after="240"/>
        <w:rPr>
          <w:rFonts w:asciiTheme="majorBidi" w:hAnsiTheme="majorBidi" w:cstheme="majorBidi"/>
        </w:rPr>
      </w:pPr>
    </w:p>
    <w:p w14:paraId="1D4DA9D1" w14:textId="327CEF69" w:rsidR="008730B4" w:rsidRDefault="008730B4" w:rsidP="00000AE6">
      <w:pPr>
        <w:pStyle w:val="ListParagraph"/>
        <w:numPr>
          <w:ilvl w:val="0"/>
          <w:numId w:val="1"/>
        </w:numPr>
        <w:spacing w:line="480" w:lineRule="auto"/>
        <w:ind w:left="0" w:firstLine="0"/>
        <w:jc w:val="both"/>
        <w:rPr>
          <w:lang w:eastAsia="en-US"/>
        </w:rPr>
      </w:pPr>
      <w:r>
        <w:rPr>
          <w:lang w:eastAsia="en-US"/>
        </w:rPr>
        <w:t xml:space="preserve">The </w:t>
      </w:r>
      <w:r w:rsidR="00151461">
        <w:rPr>
          <w:lang w:eastAsia="en-US"/>
        </w:rPr>
        <w:t>O</w:t>
      </w:r>
      <w:r>
        <w:rPr>
          <w:lang w:eastAsia="en-US"/>
        </w:rPr>
        <w:t>fficer acknowledged that the BNP is a legitimate and recognized political party</w:t>
      </w:r>
      <w:r w:rsidR="00336A83">
        <w:rPr>
          <w:lang w:eastAsia="en-US"/>
        </w:rPr>
        <w:t xml:space="preserve">, yet failed </w:t>
      </w:r>
      <w:r>
        <w:rPr>
          <w:lang w:eastAsia="en-US"/>
        </w:rPr>
        <w:t>to take the legitimate democratic function of the BNP into consideration</w:t>
      </w:r>
      <w:r w:rsidR="00336A83">
        <w:rPr>
          <w:lang w:eastAsia="en-US"/>
        </w:rPr>
        <w:t xml:space="preserve"> when finding that it </w:t>
      </w:r>
      <w:r w:rsidR="00336A83" w:rsidRPr="008730B4">
        <w:rPr>
          <w:lang w:eastAsia="en-US"/>
        </w:rPr>
        <w:t>falls under s.</w:t>
      </w:r>
      <w:r w:rsidR="00336A83">
        <w:rPr>
          <w:lang w:eastAsia="en-US"/>
        </w:rPr>
        <w:t xml:space="preserve"> </w:t>
      </w:r>
      <w:r w:rsidR="00336A83" w:rsidRPr="008730B4">
        <w:rPr>
          <w:lang w:eastAsia="en-US"/>
        </w:rPr>
        <w:t>34(1)(b)</w:t>
      </w:r>
      <w:r>
        <w:rPr>
          <w:lang w:eastAsia="en-US"/>
        </w:rPr>
        <w:t>.</w:t>
      </w:r>
      <w:r w:rsidRPr="008730B4">
        <w:rPr>
          <w:lang w:eastAsia="en-US"/>
        </w:rPr>
        <w:t xml:space="preserve"> </w:t>
      </w:r>
      <w:r w:rsidR="00336A83">
        <w:rPr>
          <w:lang w:eastAsia="en-US"/>
        </w:rPr>
        <w:t xml:space="preserve">On </w:t>
      </w:r>
      <w:r>
        <w:rPr>
          <w:lang w:eastAsia="en-US"/>
        </w:rPr>
        <w:t xml:space="preserve">judicial review of the </w:t>
      </w:r>
      <w:r w:rsidR="00336A83">
        <w:rPr>
          <w:lang w:eastAsia="en-US"/>
        </w:rPr>
        <w:t>O</w:t>
      </w:r>
      <w:r>
        <w:rPr>
          <w:lang w:eastAsia="en-US"/>
        </w:rPr>
        <w:t>fficer’s decision, Justice Jagg</w:t>
      </w:r>
      <w:r w:rsidR="00336A83">
        <w:rPr>
          <w:lang w:eastAsia="en-US"/>
        </w:rPr>
        <w:t>e</w:t>
      </w:r>
      <w:r>
        <w:rPr>
          <w:lang w:eastAsia="en-US"/>
        </w:rPr>
        <w:t xml:space="preserve">r disagreed with </w:t>
      </w:r>
      <w:r w:rsidR="00336A83">
        <w:rPr>
          <w:lang w:eastAsia="en-US"/>
        </w:rPr>
        <w:t xml:space="preserve">this </w:t>
      </w:r>
      <w:r>
        <w:rPr>
          <w:lang w:eastAsia="en-US"/>
        </w:rPr>
        <w:t>view, holding that the BNP’s legitimate democratic function is a relevant factor in the s. 34(1)(b) determination.</w:t>
      </w:r>
    </w:p>
    <w:p w14:paraId="652352DF" w14:textId="77777777" w:rsidR="004255C3" w:rsidRDefault="004255C3" w:rsidP="006519A8">
      <w:pPr>
        <w:pStyle w:val="ListParagraph"/>
        <w:rPr>
          <w:rFonts w:asciiTheme="majorBidi" w:hAnsiTheme="majorBidi" w:cstheme="majorBidi"/>
        </w:rPr>
      </w:pPr>
      <w:r w:rsidRPr="00ED38AC">
        <w:rPr>
          <w:rFonts w:asciiTheme="majorBidi" w:hAnsiTheme="majorBidi" w:cstheme="majorBidi"/>
        </w:rPr>
        <w:t>Officer’s reasons</w:t>
      </w:r>
      <w:r w:rsidRPr="002A3411">
        <w:rPr>
          <w:rFonts w:asciiTheme="majorBidi" w:hAnsiTheme="majorBidi" w:cstheme="majorBidi"/>
          <w:i/>
          <w:iCs/>
        </w:rPr>
        <w:t xml:space="preserve"> </w:t>
      </w:r>
      <w:r w:rsidRPr="004307D8">
        <w:rPr>
          <w:rFonts w:asciiTheme="majorBidi" w:hAnsiTheme="majorBidi" w:cstheme="majorBidi"/>
        </w:rPr>
        <w:t xml:space="preserve">at para </w:t>
      </w:r>
      <w:r>
        <w:rPr>
          <w:rFonts w:asciiTheme="majorBidi" w:hAnsiTheme="majorBidi" w:cstheme="majorBidi"/>
        </w:rPr>
        <w:t>37</w:t>
      </w:r>
      <w:r w:rsidRPr="004307D8">
        <w:rPr>
          <w:rFonts w:asciiTheme="majorBidi" w:hAnsiTheme="majorBidi" w:cstheme="majorBidi"/>
        </w:rPr>
        <w:t>.</w:t>
      </w:r>
    </w:p>
    <w:p w14:paraId="7DF96EF9" w14:textId="2FB3EF45" w:rsidR="004255C3" w:rsidRDefault="004255C3" w:rsidP="006519A8">
      <w:pPr>
        <w:pStyle w:val="ListParagraph"/>
        <w:spacing w:line="480" w:lineRule="auto"/>
        <w:jc w:val="both"/>
        <w:rPr>
          <w:lang w:eastAsia="en-US"/>
        </w:rPr>
      </w:pPr>
      <w:r>
        <w:rPr>
          <w:rFonts w:asciiTheme="majorBidi" w:hAnsiTheme="majorBidi" w:cstheme="majorBidi"/>
          <w:i/>
          <w:iCs/>
        </w:rPr>
        <w:t>Chowdhury</w:t>
      </w:r>
      <w:r w:rsidRPr="00E90A3B">
        <w:rPr>
          <w:rFonts w:asciiTheme="majorBidi" w:hAnsiTheme="majorBidi" w:cstheme="majorBidi"/>
          <w:i/>
          <w:iCs/>
        </w:rPr>
        <w:t xml:space="preserve">, </w:t>
      </w:r>
      <w:r>
        <w:rPr>
          <w:rFonts w:asciiTheme="majorBidi" w:hAnsiTheme="majorBidi" w:cstheme="majorBidi"/>
          <w:i/>
          <w:iCs/>
        </w:rPr>
        <w:t>supra</w:t>
      </w:r>
      <w:r w:rsidRPr="00E90A3B">
        <w:rPr>
          <w:rFonts w:asciiTheme="majorBidi" w:hAnsiTheme="majorBidi" w:cstheme="majorBidi"/>
          <w:i/>
          <w:iCs/>
        </w:rPr>
        <w:t xml:space="preserve"> </w:t>
      </w:r>
      <w:r w:rsidR="00215636">
        <w:rPr>
          <w:rFonts w:asciiTheme="majorBidi" w:hAnsiTheme="majorBidi" w:cstheme="majorBidi"/>
        </w:rPr>
        <w:t xml:space="preserve">para 15 </w:t>
      </w:r>
      <w:r w:rsidRPr="00A9790B">
        <w:rPr>
          <w:rFonts w:asciiTheme="majorBidi" w:hAnsiTheme="majorBidi" w:cstheme="majorBidi"/>
        </w:rPr>
        <w:t>at para</w:t>
      </w:r>
      <w:r>
        <w:rPr>
          <w:rFonts w:asciiTheme="majorBidi" w:hAnsiTheme="majorBidi" w:cstheme="majorBidi"/>
        </w:rPr>
        <w:t xml:space="preserve"> 23</w:t>
      </w:r>
      <w:r w:rsidRPr="00A9790B">
        <w:rPr>
          <w:rFonts w:asciiTheme="majorBidi" w:hAnsiTheme="majorBidi" w:cstheme="majorBidi"/>
        </w:rPr>
        <w:t>.</w:t>
      </w:r>
    </w:p>
    <w:p w14:paraId="40D4030A" w14:textId="52F215A8" w:rsidR="00B16B07" w:rsidRDefault="00B16B07" w:rsidP="00B16B07">
      <w:pPr>
        <w:pStyle w:val="ListParagraph"/>
        <w:numPr>
          <w:ilvl w:val="0"/>
          <w:numId w:val="1"/>
        </w:numPr>
        <w:spacing w:line="480" w:lineRule="auto"/>
        <w:ind w:left="0" w:firstLine="0"/>
        <w:jc w:val="both"/>
        <w:rPr>
          <w:lang w:eastAsia="en-US"/>
        </w:rPr>
      </w:pPr>
      <w:r>
        <w:rPr>
          <w:lang w:eastAsia="en-US"/>
        </w:rPr>
        <w:t>The question before this Court is what consideration, if any, should be given to the legitimate democratic function of an organization in the interpretation of s. 34(1)(b).</w:t>
      </w:r>
      <w:r w:rsidRPr="00523BAF">
        <w:rPr>
          <w:lang w:eastAsia="en-US"/>
        </w:rPr>
        <w:t xml:space="preserve"> </w:t>
      </w:r>
      <w:r>
        <w:rPr>
          <w:lang w:eastAsia="en-US"/>
        </w:rPr>
        <w:t>The Federal Court’s interpretation of s. 34(1)(b) creates a rebuttable presumption (</w:t>
      </w:r>
      <w:r w:rsidR="00504701">
        <w:rPr>
          <w:lang w:eastAsia="en-US"/>
        </w:rPr>
        <w:t>“</w:t>
      </w:r>
      <w:r>
        <w:rPr>
          <w:lang w:eastAsia="en-US"/>
        </w:rPr>
        <w:t>the presumption</w:t>
      </w:r>
      <w:r w:rsidR="00504701">
        <w:rPr>
          <w:lang w:eastAsia="en-US"/>
        </w:rPr>
        <w:t>”</w:t>
      </w:r>
      <w:r>
        <w:rPr>
          <w:lang w:eastAsia="en-US"/>
        </w:rPr>
        <w:t>) whereby a recognized political party with a legitimate democratic function is presumed to be acting in its legitimate political function</w:t>
      </w:r>
      <w:r w:rsidR="00411D83">
        <w:rPr>
          <w:lang w:eastAsia="en-US"/>
        </w:rPr>
        <w:t>, and not an organization that falls under s. 34(1)(b).</w:t>
      </w:r>
    </w:p>
    <w:p w14:paraId="269F1ACD" w14:textId="7E50A5A7" w:rsidR="00B16B07" w:rsidRDefault="00B16B07" w:rsidP="006519A8">
      <w:pPr>
        <w:pStyle w:val="ListParagraph"/>
        <w:spacing w:line="480" w:lineRule="auto"/>
        <w:jc w:val="both"/>
        <w:rPr>
          <w:lang w:eastAsia="en-US"/>
        </w:rPr>
      </w:pPr>
      <w:r>
        <w:rPr>
          <w:rFonts w:asciiTheme="majorBidi" w:hAnsiTheme="majorBidi" w:cstheme="majorBidi"/>
          <w:i/>
          <w:iCs/>
        </w:rPr>
        <w:t>Chowdhury</w:t>
      </w:r>
      <w:r w:rsidRPr="00E90A3B">
        <w:rPr>
          <w:rFonts w:asciiTheme="majorBidi" w:hAnsiTheme="majorBidi" w:cstheme="majorBidi"/>
          <w:i/>
          <w:iCs/>
        </w:rPr>
        <w:t xml:space="preserve">, </w:t>
      </w:r>
      <w:r>
        <w:rPr>
          <w:rFonts w:asciiTheme="majorBidi" w:hAnsiTheme="majorBidi" w:cstheme="majorBidi"/>
          <w:i/>
          <w:iCs/>
        </w:rPr>
        <w:t>supra</w:t>
      </w:r>
      <w:r w:rsidRPr="00E90A3B">
        <w:rPr>
          <w:rFonts w:asciiTheme="majorBidi" w:hAnsiTheme="majorBidi" w:cstheme="majorBidi"/>
          <w:i/>
          <w:iCs/>
        </w:rPr>
        <w:t xml:space="preserve"> </w:t>
      </w:r>
      <w:r w:rsidR="00215636">
        <w:rPr>
          <w:rFonts w:asciiTheme="majorBidi" w:hAnsiTheme="majorBidi" w:cstheme="majorBidi"/>
        </w:rPr>
        <w:t xml:space="preserve">para 15 </w:t>
      </w:r>
      <w:r w:rsidRPr="00A9790B">
        <w:rPr>
          <w:rFonts w:asciiTheme="majorBidi" w:hAnsiTheme="majorBidi" w:cstheme="majorBidi"/>
        </w:rPr>
        <w:t>at para</w:t>
      </w:r>
      <w:r>
        <w:rPr>
          <w:rFonts w:asciiTheme="majorBidi" w:hAnsiTheme="majorBidi" w:cstheme="majorBidi"/>
        </w:rPr>
        <w:t xml:space="preserve"> 23</w:t>
      </w:r>
      <w:r w:rsidRPr="00A9790B">
        <w:rPr>
          <w:rFonts w:asciiTheme="majorBidi" w:hAnsiTheme="majorBidi" w:cstheme="majorBidi"/>
        </w:rPr>
        <w:t>.</w:t>
      </w:r>
    </w:p>
    <w:p w14:paraId="62C2C320" w14:textId="1652A2E2" w:rsidR="004255C3" w:rsidRPr="00F12612" w:rsidRDefault="004255C3" w:rsidP="00000AE6">
      <w:pPr>
        <w:pStyle w:val="ListParagraph"/>
        <w:numPr>
          <w:ilvl w:val="0"/>
          <w:numId w:val="1"/>
        </w:numPr>
        <w:spacing w:line="480" w:lineRule="auto"/>
        <w:ind w:left="0" w:firstLine="0"/>
        <w:jc w:val="both"/>
        <w:rPr>
          <w:lang w:eastAsia="en-US"/>
        </w:rPr>
      </w:pPr>
      <w:r w:rsidRPr="00F12612">
        <w:rPr>
          <w:lang w:eastAsia="en-US"/>
        </w:rPr>
        <w:t xml:space="preserve">The Federal Court’s interpretation of s. 34(1)(b) is correct. It is in line with the modern approach </w:t>
      </w:r>
      <w:r w:rsidR="002B553E" w:rsidRPr="00F12612">
        <w:rPr>
          <w:lang w:eastAsia="en-US"/>
        </w:rPr>
        <w:t>to</w:t>
      </w:r>
      <w:r w:rsidRPr="00F12612">
        <w:rPr>
          <w:lang w:eastAsia="en-US"/>
        </w:rPr>
        <w:t xml:space="preserve"> statutory interpretation. It addresses </w:t>
      </w:r>
      <w:r w:rsidR="00B16B07" w:rsidRPr="00F12612">
        <w:rPr>
          <w:lang w:eastAsia="en-US"/>
        </w:rPr>
        <w:t xml:space="preserve">the absurdity </w:t>
      </w:r>
      <w:r w:rsidR="002B553E" w:rsidRPr="00F12612">
        <w:rPr>
          <w:lang w:eastAsia="en-US"/>
        </w:rPr>
        <w:t>created</w:t>
      </w:r>
      <w:r w:rsidR="00B16B07" w:rsidRPr="00F12612">
        <w:rPr>
          <w:lang w:eastAsia="en-US"/>
        </w:rPr>
        <w:t xml:space="preserve"> by the current overbroad interpretation of the provision.</w:t>
      </w:r>
      <w:r w:rsidR="007107F0" w:rsidRPr="00F12612">
        <w:rPr>
          <w:lang w:eastAsia="en-US"/>
        </w:rPr>
        <w:t xml:space="preserve"> </w:t>
      </w:r>
      <w:r w:rsidR="002B553E" w:rsidRPr="00F12612">
        <w:rPr>
          <w:lang w:eastAsia="en-US"/>
        </w:rPr>
        <w:t>Moreover, i</w:t>
      </w:r>
      <w:r w:rsidR="00F8402A" w:rsidRPr="00F12612">
        <w:rPr>
          <w:lang w:eastAsia="en-US"/>
        </w:rPr>
        <w:t>t</w:t>
      </w:r>
      <w:r w:rsidR="007107F0" w:rsidRPr="00F12612">
        <w:rPr>
          <w:lang w:eastAsia="en-US"/>
        </w:rPr>
        <w:t xml:space="preserve"> is in line with parliamentary intent and Canada’s international obligation</w:t>
      </w:r>
      <w:r w:rsidR="002B553E" w:rsidRPr="00F12612">
        <w:rPr>
          <w:lang w:eastAsia="en-US"/>
        </w:rPr>
        <w:t>s</w:t>
      </w:r>
      <w:r w:rsidR="007107F0" w:rsidRPr="00F12612">
        <w:rPr>
          <w:lang w:eastAsia="en-US"/>
        </w:rPr>
        <w:t xml:space="preserve">. </w:t>
      </w:r>
      <w:r w:rsidR="002B553E" w:rsidRPr="00F12612">
        <w:rPr>
          <w:lang w:eastAsia="en-US"/>
        </w:rPr>
        <w:t xml:space="preserve">Finally, the availability of </w:t>
      </w:r>
      <w:r w:rsidR="00C20C00">
        <w:rPr>
          <w:lang w:eastAsia="en-US"/>
        </w:rPr>
        <w:t>m</w:t>
      </w:r>
      <w:r w:rsidR="007107F0" w:rsidRPr="00F12612">
        <w:rPr>
          <w:lang w:eastAsia="en-US"/>
        </w:rPr>
        <w:t>inisterial relief does not preclude this Court from adopting the interpretation.</w:t>
      </w:r>
    </w:p>
    <w:p w14:paraId="5BB7A0A4" w14:textId="74EA4FD8" w:rsidR="00D447AC" w:rsidRDefault="002B553E" w:rsidP="00F76B5F">
      <w:pPr>
        <w:pStyle w:val="ListParagraph"/>
        <w:numPr>
          <w:ilvl w:val="3"/>
          <w:numId w:val="24"/>
        </w:numPr>
        <w:ind w:left="1134" w:hanging="141"/>
        <w:rPr>
          <w:b/>
          <w:bCs/>
          <w:i/>
          <w:iCs/>
        </w:rPr>
      </w:pPr>
      <w:r>
        <w:rPr>
          <w:b/>
          <w:bCs/>
          <w:i/>
          <w:iCs/>
        </w:rPr>
        <w:t>The i</w:t>
      </w:r>
      <w:r w:rsidR="006519A8">
        <w:rPr>
          <w:b/>
          <w:bCs/>
          <w:i/>
          <w:iCs/>
        </w:rPr>
        <w:t>nterpretation of s.34(1)(b) should take</w:t>
      </w:r>
      <w:r w:rsidR="006519A8" w:rsidRPr="006519A8">
        <w:rPr>
          <w:b/>
          <w:bCs/>
          <w:i/>
          <w:iCs/>
        </w:rPr>
        <w:t xml:space="preserve"> into account the ordinary meaning of “subversion” </w:t>
      </w:r>
    </w:p>
    <w:p w14:paraId="30E4B12D" w14:textId="77777777" w:rsidR="006519A8" w:rsidRPr="00535BAA" w:rsidRDefault="006519A8" w:rsidP="00535BAA">
      <w:pPr>
        <w:rPr>
          <w:rFonts w:asciiTheme="majorBidi" w:eastAsiaTheme="minorEastAsia" w:hAnsiTheme="majorBidi" w:cstheme="majorBidi"/>
          <w:i/>
          <w:iCs/>
        </w:rPr>
      </w:pPr>
    </w:p>
    <w:p w14:paraId="06109627" w14:textId="2C35A566" w:rsidR="006519A8" w:rsidRPr="00535BAA" w:rsidRDefault="006519A8" w:rsidP="00535BAA">
      <w:pPr>
        <w:pStyle w:val="ListParagraph"/>
        <w:numPr>
          <w:ilvl w:val="0"/>
          <w:numId w:val="1"/>
        </w:numPr>
        <w:spacing w:line="480" w:lineRule="auto"/>
        <w:ind w:left="0" w:firstLine="0"/>
        <w:jc w:val="both"/>
        <w:rPr>
          <w:rFonts w:asciiTheme="majorBidi" w:eastAsiaTheme="minorEastAsia" w:hAnsiTheme="majorBidi" w:cstheme="majorBidi"/>
        </w:rPr>
      </w:pPr>
      <w:r>
        <w:rPr>
          <w:lang w:eastAsia="en-US"/>
        </w:rPr>
        <w:t xml:space="preserve">The </w:t>
      </w:r>
      <w:r w:rsidR="00535BAA">
        <w:rPr>
          <w:lang w:eastAsia="en-US"/>
        </w:rPr>
        <w:t xml:space="preserve">interpretation of s. 34(1)(b) should </w:t>
      </w:r>
      <w:r>
        <w:rPr>
          <w:lang w:eastAsia="en-US"/>
        </w:rPr>
        <w:t xml:space="preserve">take into </w:t>
      </w:r>
      <w:r w:rsidR="00270F48">
        <w:rPr>
          <w:lang w:eastAsia="en-US"/>
        </w:rPr>
        <w:t>account</w:t>
      </w:r>
      <w:r>
        <w:rPr>
          <w:lang w:eastAsia="en-US"/>
        </w:rPr>
        <w:t xml:space="preserve"> the meaning of “subversion” </w:t>
      </w:r>
      <w:r w:rsidR="00210BA1">
        <w:rPr>
          <w:lang w:eastAsia="en-US"/>
        </w:rPr>
        <w:t xml:space="preserve">in </w:t>
      </w:r>
      <w:r>
        <w:rPr>
          <w:lang w:eastAsia="en-US"/>
        </w:rPr>
        <w:t xml:space="preserve">the </w:t>
      </w:r>
      <w:r w:rsidR="00270F48">
        <w:rPr>
          <w:lang w:eastAsia="en-US"/>
        </w:rPr>
        <w:t xml:space="preserve">text of the </w:t>
      </w:r>
      <w:r>
        <w:rPr>
          <w:lang w:eastAsia="en-US"/>
        </w:rPr>
        <w:t xml:space="preserve">provision. </w:t>
      </w:r>
      <w:r w:rsidR="00411D83">
        <w:rPr>
          <w:lang w:eastAsia="en-US"/>
        </w:rPr>
        <w:t xml:space="preserve">The word </w:t>
      </w:r>
      <w:r w:rsidRPr="00861B94">
        <w:rPr>
          <w:lang w:eastAsia="en-US"/>
        </w:rPr>
        <w:t>“</w:t>
      </w:r>
      <w:r w:rsidR="00411D83">
        <w:rPr>
          <w:lang w:eastAsia="en-US"/>
        </w:rPr>
        <w:t>s</w:t>
      </w:r>
      <w:r w:rsidRPr="00861B94">
        <w:rPr>
          <w:lang w:eastAsia="en-US"/>
        </w:rPr>
        <w:t xml:space="preserve">ubversion” is not defined in the </w:t>
      </w:r>
      <w:r w:rsidRPr="00861B94">
        <w:rPr>
          <w:i/>
          <w:iCs/>
          <w:lang w:eastAsia="en-US"/>
        </w:rPr>
        <w:t>IRPA</w:t>
      </w:r>
      <w:r w:rsidRPr="00861B94">
        <w:rPr>
          <w:lang w:eastAsia="en-US"/>
        </w:rPr>
        <w:t xml:space="preserve">, and there is no universally adopted definition of the </w:t>
      </w:r>
      <w:r w:rsidR="00210BA1">
        <w:rPr>
          <w:lang w:eastAsia="en-US"/>
        </w:rPr>
        <w:t>term</w:t>
      </w:r>
      <w:r w:rsidRPr="00861B94">
        <w:rPr>
          <w:lang w:eastAsia="en-US"/>
        </w:rPr>
        <w:t>.</w:t>
      </w:r>
      <w:r w:rsidR="00535BAA" w:rsidRPr="00535BAA">
        <w:rPr>
          <w:lang w:eastAsia="en-US"/>
        </w:rPr>
        <w:t xml:space="preserve"> </w:t>
      </w:r>
      <w:r w:rsidR="002B553E">
        <w:rPr>
          <w:lang w:eastAsia="en-US"/>
        </w:rPr>
        <w:t xml:space="preserve">According to </w:t>
      </w:r>
      <w:r w:rsidR="00535BAA">
        <w:rPr>
          <w:lang w:eastAsia="en-US"/>
        </w:rPr>
        <w:t>modern principle</w:t>
      </w:r>
      <w:r w:rsidR="002B553E">
        <w:rPr>
          <w:lang w:eastAsia="en-US"/>
        </w:rPr>
        <w:t>s</w:t>
      </w:r>
      <w:r w:rsidR="00535BAA">
        <w:rPr>
          <w:lang w:eastAsia="en-US"/>
        </w:rPr>
        <w:t xml:space="preserve"> of statutory interpretation, </w:t>
      </w:r>
      <w:r w:rsidR="00535BAA" w:rsidRPr="00D84266">
        <w:rPr>
          <w:lang w:eastAsia="en-US"/>
        </w:rPr>
        <w:t xml:space="preserve">the words of an Act </w:t>
      </w:r>
      <w:r w:rsidR="002B553E">
        <w:rPr>
          <w:lang w:eastAsia="en-US"/>
        </w:rPr>
        <w:t>must</w:t>
      </w:r>
      <w:r w:rsidR="00535BAA" w:rsidRPr="00D84266">
        <w:rPr>
          <w:lang w:eastAsia="en-US"/>
        </w:rPr>
        <w:t xml:space="preserve"> be read in their entire context and in their grammatical and ordinary sense harmoniously with the scheme of the Act, the object of the Act, and the intention of Parliament</w:t>
      </w:r>
      <w:r w:rsidR="00535BAA">
        <w:rPr>
          <w:lang w:eastAsia="en-US"/>
        </w:rPr>
        <w:t>.</w:t>
      </w:r>
    </w:p>
    <w:p w14:paraId="0A28E525" w14:textId="6C2DB88D" w:rsidR="00535BAA" w:rsidRDefault="00F6753C" w:rsidP="00535BAA">
      <w:pPr>
        <w:pStyle w:val="ListParagraph"/>
        <w:rPr>
          <w:rFonts w:asciiTheme="majorBidi" w:eastAsiaTheme="minorEastAsia" w:hAnsiTheme="majorBidi" w:cstheme="majorBidi"/>
          <w:i/>
          <w:iCs/>
        </w:rPr>
      </w:pPr>
      <w:r w:rsidRPr="00981D6C">
        <w:rPr>
          <w:rFonts w:asciiTheme="majorBidi" w:eastAsiaTheme="minorEastAsia" w:hAnsiTheme="majorBidi" w:cstheme="majorBidi"/>
          <w:i/>
          <w:iCs/>
        </w:rPr>
        <w:t xml:space="preserve">Rizzo &amp; Rizzo Shoes Ltd (Re), </w:t>
      </w:r>
      <w:r w:rsidRPr="00981D6C">
        <w:rPr>
          <w:rFonts w:asciiTheme="majorBidi" w:eastAsiaTheme="minorEastAsia" w:hAnsiTheme="majorBidi" w:cstheme="majorBidi"/>
        </w:rPr>
        <w:t xml:space="preserve">[1998] 1 SCR 27, </w:t>
      </w:r>
      <w:r w:rsidRPr="00F6753C">
        <w:rPr>
          <w:rFonts w:asciiTheme="majorBidi" w:eastAsiaTheme="minorEastAsia" w:hAnsiTheme="majorBidi" w:cstheme="majorBidi"/>
        </w:rPr>
        <w:t>[1998] SCJ No</w:t>
      </w:r>
      <w:r>
        <w:rPr>
          <w:rFonts w:asciiTheme="majorBidi" w:eastAsiaTheme="minorEastAsia" w:hAnsiTheme="majorBidi" w:cstheme="majorBidi"/>
        </w:rPr>
        <w:t xml:space="preserve"> 2</w:t>
      </w:r>
      <w:r w:rsidR="00535BAA">
        <w:rPr>
          <w:rFonts w:asciiTheme="majorBidi" w:eastAsiaTheme="minorEastAsia" w:hAnsiTheme="majorBidi" w:cstheme="majorBidi"/>
        </w:rPr>
        <w:t xml:space="preserve"> at para 21.</w:t>
      </w:r>
    </w:p>
    <w:p w14:paraId="06757613" w14:textId="77777777" w:rsidR="00535BAA" w:rsidRPr="00535BAA" w:rsidRDefault="00535BAA" w:rsidP="00535BAA">
      <w:pPr>
        <w:pStyle w:val="ListParagraph"/>
        <w:rPr>
          <w:rFonts w:asciiTheme="majorBidi" w:eastAsiaTheme="minorEastAsia" w:hAnsiTheme="majorBidi" w:cstheme="majorBidi"/>
          <w:i/>
          <w:iCs/>
        </w:rPr>
      </w:pPr>
    </w:p>
    <w:p w14:paraId="02CA1243" w14:textId="382FDC81" w:rsidR="006519A8" w:rsidRPr="00535BAA" w:rsidRDefault="002225A8" w:rsidP="006519A8">
      <w:pPr>
        <w:pStyle w:val="ListParagraph"/>
        <w:numPr>
          <w:ilvl w:val="0"/>
          <w:numId w:val="1"/>
        </w:numPr>
        <w:spacing w:line="480" w:lineRule="auto"/>
        <w:ind w:left="0" w:firstLine="0"/>
        <w:jc w:val="both"/>
        <w:rPr>
          <w:rFonts w:asciiTheme="majorBidi" w:eastAsiaTheme="minorEastAsia" w:hAnsiTheme="majorBidi" w:cstheme="majorBidi"/>
        </w:rPr>
      </w:pPr>
      <w:r>
        <w:rPr>
          <w:rFonts w:asciiTheme="majorBidi" w:eastAsiaTheme="minorEastAsia" w:hAnsiTheme="majorBidi" w:cstheme="majorBidi"/>
        </w:rPr>
        <w:t>T</w:t>
      </w:r>
      <w:r w:rsidR="006519A8" w:rsidRPr="00535BAA">
        <w:rPr>
          <w:rFonts w:asciiTheme="majorBidi" w:eastAsiaTheme="minorEastAsia" w:hAnsiTheme="majorBidi" w:cstheme="majorBidi"/>
        </w:rPr>
        <w:t xml:space="preserve">he Federal Court of Appeal </w:t>
      </w:r>
      <w:r>
        <w:rPr>
          <w:rFonts w:asciiTheme="majorBidi" w:eastAsiaTheme="minorEastAsia" w:hAnsiTheme="majorBidi" w:cstheme="majorBidi"/>
        </w:rPr>
        <w:t xml:space="preserve">in </w:t>
      </w:r>
      <w:r>
        <w:rPr>
          <w:rFonts w:asciiTheme="majorBidi" w:eastAsiaTheme="minorEastAsia" w:hAnsiTheme="majorBidi" w:cstheme="majorBidi"/>
          <w:i/>
          <w:iCs/>
        </w:rPr>
        <w:t xml:space="preserve">Najafi </w:t>
      </w:r>
      <w:r w:rsidR="00210BA1">
        <w:rPr>
          <w:rFonts w:asciiTheme="majorBidi" w:eastAsiaTheme="minorEastAsia" w:hAnsiTheme="majorBidi" w:cstheme="majorBidi"/>
        </w:rPr>
        <w:t xml:space="preserve">endorsed the Black’s Law Dictionary definition of subversion as </w:t>
      </w:r>
      <w:r w:rsidR="006519A8" w:rsidRPr="00535BAA">
        <w:rPr>
          <w:rFonts w:asciiTheme="majorBidi" w:eastAsiaTheme="minorEastAsia" w:hAnsiTheme="majorBidi" w:cstheme="majorBidi"/>
        </w:rPr>
        <w:t xml:space="preserve">“the act or process of </w:t>
      </w:r>
      <w:r w:rsidR="006519A8" w:rsidRPr="0040634F">
        <w:rPr>
          <w:rFonts w:asciiTheme="majorBidi" w:eastAsiaTheme="minorEastAsia" w:hAnsiTheme="majorBidi" w:cstheme="majorBidi"/>
        </w:rPr>
        <w:t>overthrowing</w:t>
      </w:r>
      <w:r w:rsidR="00210BA1">
        <w:rPr>
          <w:rFonts w:asciiTheme="majorBidi" w:eastAsiaTheme="minorEastAsia" w:hAnsiTheme="majorBidi" w:cstheme="majorBidi"/>
        </w:rPr>
        <w:t>…</w:t>
      </w:r>
      <w:r w:rsidR="006519A8" w:rsidRPr="00535BAA">
        <w:rPr>
          <w:rFonts w:asciiTheme="majorBidi" w:eastAsiaTheme="minorEastAsia" w:hAnsiTheme="majorBidi" w:cstheme="majorBidi"/>
        </w:rPr>
        <w:t>the government”</w:t>
      </w:r>
      <w:r w:rsidR="00210BA1">
        <w:rPr>
          <w:rFonts w:asciiTheme="majorBidi" w:eastAsiaTheme="minorEastAsia" w:hAnsiTheme="majorBidi" w:cstheme="majorBidi"/>
        </w:rPr>
        <w:t>. As a result</w:t>
      </w:r>
      <w:r w:rsidR="00E90D1D" w:rsidRPr="00E90D1D">
        <w:rPr>
          <w:rFonts w:asciiTheme="majorBidi" w:eastAsiaTheme="minorEastAsia" w:hAnsiTheme="majorBidi" w:cstheme="majorBidi"/>
        </w:rPr>
        <w:t>, for an organization to fall under s. 34(1)(b), its conduct must involve intent to overthrow the government.</w:t>
      </w:r>
    </w:p>
    <w:p w14:paraId="3DE27C1B" w14:textId="6FDEC26D" w:rsidR="00215636" w:rsidRPr="00215636" w:rsidRDefault="00215636" w:rsidP="00215636">
      <w:pPr>
        <w:pStyle w:val="ListParagraph"/>
        <w:rPr>
          <w:rFonts w:asciiTheme="majorBidi" w:hAnsiTheme="majorBidi" w:cstheme="majorBidi"/>
        </w:rPr>
      </w:pPr>
      <w:r w:rsidRPr="002D741B">
        <w:rPr>
          <w:rFonts w:asciiTheme="majorBidi" w:hAnsiTheme="majorBidi" w:cstheme="majorBidi"/>
          <w:i/>
          <w:iCs/>
        </w:rPr>
        <w:t xml:space="preserve">Najafi v Canada (Minister of Public Safety and Emergency Preparedness), </w:t>
      </w:r>
      <w:r w:rsidRPr="002D741B">
        <w:rPr>
          <w:rFonts w:asciiTheme="majorBidi" w:hAnsiTheme="majorBidi" w:cstheme="majorBidi"/>
        </w:rPr>
        <w:t xml:space="preserve">2014 </w:t>
      </w:r>
      <w:r>
        <w:rPr>
          <w:rFonts w:asciiTheme="majorBidi" w:hAnsiTheme="majorBidi" w:cstheme="majorBidi"/>
        </w:rPr>
        <w:t>FCA</w:t>
      </w:r>
      <w:r w:rsidRPr="002D741B">
        <w:rPr>
          <w:rFonts w:asciiTheme="majorBidi" w:hAnsiTheme="majorBidi" w:cstheme="majorBidi"/>
        </w:rPr>
        <w:t xml:space="preserve"> 262</w:t>
      </w:r>
      <w:r>
        <w:rPr>
          <w:rFonts w:asciiTheme="majorBidi" w:hAnsiTheme="majorBidi" w:cstheme="majorBidi"/>
        </w:rPr>
        <w:t xml:space="preserve"> </w:t>
      </w:r>
      <w:r w:rsidRPr="002D741B">
        <w:rPr>
          <w:rFonts w:asciiTheme="majorBidi" w:hAnsiTheme="majorBidi" w:cstheme="majorBidi"/>
        </w:rPr>
        <w:t>at para</w:t>
      </w:r>
      <w:r>
        <w:rPr>
          <w:rFonts w:asciiTheme="majorBidi" w:hAnsiTheme="majorBidi" w:cstheme="majorBidi"/>
        </w:rPr>
        <w:t xml:space="preserve"> 65</w:t>
      </w:r>
      <w:r w:rsidRPr="002D741B">
        <w:rPr>
          <w:rFonts w:asciiTheme="majorBidi" w:hAnsiTheme="majorBidi" w:cstheme="majorBidi"/>
        </w:rPr>
        <w:t xml:space="preserve"> [</w:t>
      </w:r>
      <w:r w:rsidRPr="002D741B">
        <w:rPr>
          <w:rFonts w:asciiTheme="majorBidi" w:hAnsiTheme="majorBidi" w:cstheme="majorBidi"/>
          <w:i/>
          <w:iCs/>
        </w:rPr>
        <w:t>Najafi</w:t>
      </w:r>
      <w:r w:rsidRPr="002D741B">
        <w:rPr>
          <w:rFonts w:asciiTheme="majorBidi" w:hAnsiTheme="majorBidi" w:cstheme="majorBidi"/>
        </w:rPr>
        <w:t>].</w:t>
      </w:r>
    </w:p>
    <w:p w14:paraId="1E32E857" w14:textId="77777777" w:rsidR="006519A8" w:rsidRPr="00F35FB2" w:rsidRDefault="006519A8" w:rsidP="006519A8">
      <w:pPr>
        <w:pStyle w:val="ListParagraph"/>
        <w:rPr>
          <w:rFonts w:asciiTheme="majorBidi" w:hAnsiTheme="majorBidi" w:cstheme="majorBidi"/>
        </w:rPr>
      </w:pPr>
    </w:p>
    <w:p w14:paraId="28840AA1" w14:textId="6E303A3D" w:rsidR="006519A8" w:rsidRPr="00535BAA" w:rsidRDefault="006519A8" w:rsidP="00535BAA">
      <w:pPr>
        <w:pStyle w:val="ListParagraph"/>
        <w:numPr>
          <w:ilvl w:val="0"/>
          <w:numId w:val="1"/>
        </w:numPr>
        <w:spacing w:line="480" w:lineRule="auto"/>
        <w:ind w:left="0" w:firstLine="0"/>
        <w:jc w:val="both"/>
        <w:rPr>
          <w:rFonts w:asciiTheme="majorBidi" w:eastAsiaTheme="minorEastAsia" w:hAnsiTheme="majorBidi" w:cstheme="majorBidi"/>
        </w:rPr>
      </w:pPr>
      <w:r w:rsidRPr="00535BAA">
        <w:rPr>
          <w:rFonts w:asciiTheme="majorBidi" w:eastAsiaTheme="minorEastAsia" w:hAnsiTheme="majorBidi" w:cstheme="majorBidi"/>
        </w:rPr>
        <w:t xml:space="preserve">The presumption carefully provides guidance in answer to </w:t>
      </w:r>
      <w:r w:rsidR="0040634F">
        <w:rPr>
          <w:rFonts w:asciiTheme="majorBidi" w:eastAsiaTheme="minorEastAsia" w:hAnsiTheme="majorBidi" w:cstheme="majorBidi"/>
        </w:rPr>
        <w:t>this</w:t>
      </w:r>
      <w:r w:rsidR="00411D83">
        <w:rPr>
          <w:rFonts w:asciiTheme="majorBidi" w:eastAsiaTheme="minorEastAsia" w:hAnsiTheme="majorBidi" w:cstheme="majorBidi"/>
        </w:rPr>
        <w:t xml:space="preserve"> key</w:t>
      </w:r>
      <w:r w:rsidRPr="00535BAA">
        <w:rPr>
          <w:rFonts w:asciiTheme="majorBidi" w:eastAsiaTheme="minorEastAsia" w:hAnsiTheme="majorBidi" w:cstheme="majorBidi"/>
        </w:rPr>
        <w:t xml:space="preserve"> question</w:t>
      </w:r>
      <w:r w:rsidR="0040634F">
        <w:rPr>
          <w:rFonts w:asciiTheme="majorBidi" w:eastAsiaTheme="minorEastAsia" w:hAnsiTheme="majorBidi" w:cstheme="majorBidi"/>
        </w:rPr>
        <w:t xml:space="preserve">. </w:t>
      </w:r>
      <w:r w:rsidRPr="00535BAA">
        <w:rPr>
          <w:rFonts w:asciiTheme="majorBidi" w:eastAsiaTheme="minorEastAsia" w:hAnsiTheme="majorBidi" w:cstheme="majorBidi"/>
        </w:rPr>
        <w:t>A recognized political party in a legitimate democratic system is presumed to be carrying out its legitimate political function absent evidence to the contrary. Similarly, the intent of a reconized political party in carrying out its legitimate political function is presumed not to relate to the overthrowing of the government. In other words, the conduct of a recognized political party is presumed not to constitute “subversion”, unless there is evidence to the contrary.</w:t>
      </w:r>
    </w:p>
    <w:p w14:paraId="244AE8A6" w14:textId="38659A31" w:rsidR="006519A8" w:rsidRDefault="00535BAA" w:rsidP="00F76B5F">
      <w:pPr>
        <w:pStyle w:val="ListParagraph"/>
        <w:numPr>
          <w:ilvl w:val="3"/>
          <w:numId w:val="24"/>
        </w:numPr>
        <w:ind w:left="1134" w:hanging="141"/>
        <w:rPr>
          <w:b/>
          <w:bCs/>
          <w:i/>
          <w:iCs/>
        </w:rPr>
      </w:pPr>
      <w:r>
        <w:rPr>
          <w:b/>
          <w:bCs/>
          <w:i/>
          <w:iCs/>
        </w:rPr>
        <w:t xml:space="preserve">The </w:t>
      </w:r>
      <w:r w:rsidR="00E90D1D">
        <w:rPr>
          <w:b/>
          <w:bCs/>
          <w:i/>
          <w:iCs/>
        </w:rPr>
        <w:t xml:space="preserve">current </w:t>
      </w:r>
      <w:r>
        <w:rPr>
          <w:b/>
          <w:bCs/>
          <w:i/>
          <w:iCs/>
        </w:rPr>
        <w:t xml:space="preserve">broad interpretation </w:t>
      </w:r>
      <w:r w:rsidR="00E90D1D">
        <w:rPr>
          <w:b/>
          <w:bCs/>
          <w:i/>
          <w:iCs/>
        </w:rPr>
        <w:t xml:space="preserve">of s. 34(1)(b) </w:t>
      </w:r>
      <w:r>
        <w:rPr>
          <w:b/>
          <w:bCs/>
          <w:i/>
          <w:iCs/>
        </w:rPr>
        <w:t>creates absurdity</w:t>
      </w:r>
    </w:p>
    <w:p w14:paraId="79558FAC" w14:textId="77777777" w:rsidR="00F509AA" w:rsidRPr="00F509AA" w:rsidRDefault="00F509AA" w:rsidP="00F509AA">
      <w:pPr>
        <w:pStyle w:val="ListParagraph"/>
        <w:ind w:firstLine="720"/>
        <w:rPr>
          <w:b/>
          <w:bCs/>
          <w:i/>
          <w:iCs/>
        </w:rPr>
      </w:pPr>
    </w:p>
    <w:p w14:paraId="5CC9E59E" w14:textId="7CFC693C" w:rsidR="00D447AC" w:rsidRPr="005D0A26" w:rsidRDefault="00E90D1D" w:rsidP="00F8402A">
      <w:pPr>
        <w:pStyle w:val="ListParagraph"/>
        <w:numPr>
          <w:ilvl w:val="0"/>
          <w:numId w:val="1"/>
        </w:numPr>
        <w:spacing w:line="480" w:lineRule="auto"/>
        <w:ind w:left="0" w:firstLine="0"/>
        <w:jc w:val="both"/>
        <w:rPr>
          <w:rFonts w:eastAsiaTheme="minorEastAsia"/>
        </w:rPr>
      </w:pPr>
      <w:r>
        <w:rPr>
          <w:lang w:eastAsia="en-US"/>
        </w:rPr>
        <w:t>The</w:t>
      </w:r>
      <w:r w:rsidR="003E72FD">
        <w:rPr>
          <w:lang w:eastAsia="en-US"/>
        </w:rPr>
        <w:t xml:space="preserve"> </w:t>
      </w:r>
      <w:r w:rsidR="003E72FD">
        <w:t xml:space="preserve">current interpretation of </w:t>
      </w:r>
      <w:r w:rsidR="00C20996">
        <w:t>s. 34(1)(b)</w:t>
      </w:r>
      <w:r w:rsidR="00210BA1">
        <w:t xml:space="preserve">, elaborated upon in </w:t>
      </w:r>
      <w:r w:rsidR="00210BA1">
        <w:rPr>
          <w:i/>
          <w:iCs/>
        </w:rPr>
        <w:t xml:space="preserve">Najafi </w:t>
      </w:r>
      <w:r w:rsidR="00210BA1">
        <w:t xml:space="preserve">and followed in </w:t>
      </w:r>
      <w:r w:rsidR="00210BA1">
        <w:rPr>
          <w:i/>
          <w:iCs/>
        </w:rPr>
        <w:t>Zahw,</w:t>
      </w:r>
      <w:r>
        <w:rPr>
          <w:lang w:eastAsia="en-US"/>
        </w:rPr>
        <w:t xml:space="preserve"> </w:t>
      </w:r>
      <w:r w:rsidR="00C20996">
        <w:rPr>
          <w:lang w:eastAsia="en-US"/>
        </w:rPr>
        <w:t xml:space="preserve">is </w:t>
      </w:r>
      <w:r>
        <w:rPr>
          <w:lang w:eastAsia="en-US"/>
        </w:rPr>
        <w:t>overly broad</w:t>
      </w:r>
      <w:r w:rsidR="00210BA1">
        <w:rPr>
          <w:lang w:eastAsia="en-US"/>
        </w:rPr>
        <w:t xml:space="preserve">. The </w:t>
      </w:r>
      <w:r w:rsidR="00210BA1">
        <w:rPr>
          <w:i/>
          <w:iCs/>
          <w:lang w:eastAsia="en-US"/>
        </w:rPr>
        <w:t xml:space="preserve">Najafi/Zahw </w:t>
      </w:r>
      <w:r w:rsidR="00210BA1">
        <w:rPr>
          <w:lang w:eastAsia="en-US"/>
        </w:rPr>
        <w:t xml:space="preserve">interpretation </w:t>
      </w:r>
      <w:r w:rsidR="00D447AC">
        <w:rPr>
          <w:lang w:eastAsia="en-US"/>
        </w:rPr>
        <w:t>cast</w:t>
      </w:r>
      <w:r w:rsidR="00210BA1">
        <w:rPr>
          <w:lang w:eastAsia="en-US"/>
        </w:rPr>
        <w:t>s</w:t>
      </w:r>
      <w:r w:rsidR="00D447AC">
        <w:rPr>
          <w:lang w:eastAsia="en-US"/>
        </w:rPr>
        <w:t xml:space="preserve"> a wide net and captures </w:t>
      </w:r>
      <w:r w:rsidR="00210BA1">
        <w:rPr>
          <w:lang w:eastAsia="en-US"/>
        </w:rPr>
        <w:t xml:space="preserve">a broad array of (often legitimate political) </w:t>
      </w:r>
      <w:r>
        <w:rPr>
          <w:lang w:eastAsia="en-US"/>
        </w:rPr>
        <w:t>a</w:t>
      </w:r>
      <w:r w:rsidR="00D447AC">
        <w:rPr>
          <w:lang w:eastAsia="en-US"/>
        </w:rPr>
        <w:t>ct</w:t>
      </w:r>
      <w:r w:rsidR="00210BA1">
        <w:rPr>
          <w:lang w:eastAsia="en-US"/>
        </w:rPr>
        <w:t>ivity</w:t>
      </w:r>
      <w:r w:rsidR="00D447AC">
        <w:rPr>
          <w:lang w:eastAsia="en-US"/>
        </w:rPr>
        <w:t xml:space="preserve"> against any type of government without considering the</w:t>
      </w:r>
      <w:r w:rsidR="00336A83">
        <w:rPr>
          <w:lang w:eastAsia="en-US"/>
        </w:rPr>
        <w:t xml:space="preserve"> particular facts and</w:t>
      </w:r>
      <w:r w:rsidR="00D447AC">
        <w:rPr>
          <w:lang w:eastAsia="en-US"/>
        </w:rPr>
        <w:t xml:space="preserve"> circumstances</w:t>
      </w:r>
      <w:r w:rsidR="00336A83">
        <w:rPr>
          <w:lang w:eastAsia="en-US"/>
        </w:rPr>
        <w:t xml:space="preserve">, including </w:t>
      </w:r>
      <w:r w:rsidR="00D447AC">
        <w:rPr>
          <w:lang w:eastAsia="en-US"/>
        </w:rPr>
        <w:t>the legitimacy or legality of the act</w:t>
      </w:r>
      <w:r w:rsidR="00210BA1">
        <w:rPr>
          <w:lang w:eastAsia="en-US"/>
        </w:rPr>
        <w:t>ivity</w:t>
      </w:r>
      <w:r w:rsidR="00D447AC">
        <w:rPr>
          <w:lang w:eastAsia="en-US"/>
        </w:rPr>
        <w:t>, the legitimacy of the government, the motivation behind the acts, or the degree of public support for the intervention of the organization in issue.</w:t>
      </w:r>
      <w:r w:rsidR="00F8402A">
        <w:rPr>
          <w:lang w:eastAsia="en-US"/>
        </w:rPr>
        <w:t xml:space="preserve"> Consequently, </w:t>
      </w:r>
      <w:r w:rsidR="00F8402A" w:rsidRPr="00F8402A">
        <w:rPr>
          <w:rFonts w:asciiTheme="majorBidi" w:hAnsiTheme="majorBidi" w:cstheme="majorBidi"/>
        </w:rPr>
        <w:t xml:space="preserve">individuals who are members of recognized political parties in democracies are treated the same as individuals who are members of non-legitimate violent organizations. </w:t>
      </w:r>
      <w:r w:rsidR="00F8402A">
        <w:rPr>
          <w:lang w:eastAsia="en-US"/>
        </w:rPr>
        <w:t>This is contrary to the basic democratic values that Canada upholds as a democratic icon of the contemporary world.</w:t>
      </w:r>
    </w:p>
    <w:p w14:paraId="487AD576" w14:textId="744D6BC9" w:rsidR="00D447AC" w:rsidRPr="00D7284A" w:rsidRDefault="00215636" w:rsidP="00215636">
      <w:pPr>
        <w:pStyle w:val="ListParagraph"/>
        <w:rPr>
          <w:rFonts w:asciiTheme="majorBidi" w:hAnsiTheme="majorBidi" w:cstheme="majorBidi"/>
          <w:lang w:val="fr-CA"/>
        </w:rPr>
      </w:pPr>
      <w:r w:rsidRPr="00D7284A">
        <w:rPr>
          <w:rFonts w:asciiTheme="majorBidi" w:hAnsiTheme="majorBidi" w:cstheme="majorBidi"/>
          <w:i/>
          <w:iCs/>
          <w:lang w:val="fr-CA"/>
        </w:rPr>
        <w:t>Najafi</w:t>
      </w:r>
      <w:r w:rsidRPr="00D7284A">
        <w:rPr>
          <w:rFonts w:asciiTheme="majorBidi" w:hAnsiTheme="majorBidi" w:cstheme="majorBidi" w:hint="eastAsia"/>
          <w:i/>
          <w:iCs/>
          <w:lang w:val="fr-CA"/>
        </w:rPr>
        <w:t>,</w:t>
      </w:r>
      <w:r w:rsidRPr="00D7284A">
        <w:rPr>
          <w:rFonts w:asciiTheme="majorBidi" w:hAnsiTheme="majorBidi" w:cstheme="majorBidi"/>
          <w:i/>
          <w:iCs/>
          <w:lang w:val="fr-CA"/>
        </w:rPr>
        <w:t xml:space="preserve"> supra </w:t>
      </w:r>
      <w:r w:rsidRPr="00D7284A">
        <w:rPr>
          <w:rFonts w:asciiTheme="majorBidi" w:hAnsiTheme="majorBidi" w:cstheme="majorBidi"/>
          <w:lang w:val="fr-CA"/>
        </w:rPr>
        <w:t>para 40 at paras 65, 69, 70, 78.</w:t>
      </w:r>
    </w:p>
    <w:p w14:paraId="76F0899F" w14:textId="23CEA851" w:rsidR="00E90D1D" w:rsidRDefault="00D447AC" w:rsidP="003E72FD">
      <w:pPr>
        <w:pStyle w:val="ListParagraph"/>
      </w:pPr>
      <w:r w:rsidRPr="000E148A">
        <w:rPr>
          <w:rFonts w:asciiTheme="majorBidi" w:eastAsiaTheme="minorEastAsia" w:hAnsiTheme="majorBidi" w:cstheme="majorBidi"/>
          <w:i/>
          <w:iCs/>
        </w:rPr>
        <w:t xml:space="preserve">Zahw v Canada (Public Safety and Emergency Preparedness), </w:t>
      </w:r>
      <w:r w:rsidRPr="000E148A">
        <w:rPr>
          <w:rFonts w:asciiTheme="majorBidi" w:eastAsiaTheme="minorEastAsia" w:hAnsiTheme="majorBidi" w:cstheme="majorBidi"/>
        </w:rPr>
        <w:t>2019 FC 934 at para</w:t>
      </w:r>
      <w:r w:rsidR="00B10BD8">
        <w:rPr>
          <w:rFonts w:asciiTheme="majorBidi" w:eastAsiaTheme="minorEastAsia" w:hAnsiTheme="majorBidi" w:cstheme="majorBidi"/>
        </w:rPr>
        <w:t xml:space="preserve"> </w:t>
      </w:r>
      <w:r w:rsidRPr="000E148A">
        <w:rPr>
          <w:rFonts w:asciiTheme="majorBidi" w:eastAsiaTheme="minorEastAsia" w:hAnsiTheme="majorBidi" w:cstheme="majorBidi"/>
        </w:rPr>
        <w:t>56</w:t>
      </w:r>
      <w:r w:rsidRPr="000E148A">
        <w:rPr>
          <w:rFonts w:asciiTheme="majorBidi" w:eastAsiaTheme="minorEastAsia" w:hAnsiTheme="majorBidi" w:cstheme="majorBidi"/>
          <w:i/>
          <w:iCs/>
        </w:rPr>
        <w:t xml:space="preserve"> </w:t>
      </w:r>
      <w:r w:rsidRPr="000E148A">
        <w:rPr>
          <w:rFonts w:asciiTheme="majorBidi" w:eastAsiaTheme="minorEastAsia" w:hAnsiTheme="majorBidi" w:cstheme="majorBidi"/>
        </w:rPr>
        <w:t>[</w:t>
      </w:r>
      <w:r w:rsidRPr="000E148A">
        <w:rPr>
          <w:rFonts w:asciiTheme="majorBidi" w:eastAsiaTheme="minorEastAsia" w:hAnsiTheme="majorBidi" w:cstheme="majorBidi"/>
          <w:i/>
          <w:iCs/>
        </w:rPr>
        <w:t>Zahw</w:t>
      </w:r>
      <w:r w:rsidRPr="000E148A">
        <w:rPr>
          <w:rFonts w:asciiTheme="majorBidi" w:eastAsiaTheme="minorEastAsia" w:hAnsiTheme="majorBidi" w:cstheme="majorBidi"/>
        </w:rPr>
        <w:t>]</w:t>
      </w:r>
      <w:r w:rsidRPr="000E148A">
        <w:rPr>
          <w:rFonts w:asciiTheme="majorBidi" w:eastAsiaTheme="minorEastAsia" w:hAnsiTheme="majorBidi" w:cstheme="majorBidi"/>
          <w:i/>
          <w:iCs/>
        </w:rPr>
        <w:t>.</w:t>
      </w:r>
    </w:p>
    <w:p w14:paraId="5ED2E0FB" w14:textId="26745D53" w:rsidR="003B6550" w:rsidRPr="00AE3BC3" w:rsidRDefault="003B6550" w:rsidP="00AE3BC3">
      <w:pPr>
        <w:rPr>
          <w:rFonts w:asciiTheme="majorBidi" w:hAnsiTheme="majorBidi" w:cstheme="majorBidi"/>
          <w:i/>
          <w:iCs/>
          <w:strike/>
        </w:rPr>
      </w:pPr>
    </w:p>
    <w:p w14:paraId="5E195CB5" w14:textId="3CD35692" w:rsidR="00F8402A" w:rsidRPr="005D0A26" w:rsidRDefault="00F8402A" w:rsidP="00F8402A">
      <w:pPr>
        <w:pStyle w:val="ListParagraph"/>
        <w:numPr>
          <w:ilvl w:val="0"/>
          <w:numId w:val="1"/>
        </w:numPr>
        <w:spacing w:line="480" w:lineRule="auto"/>
        <w:ind w:left="0" w:firstLine="0"/>
        <w:jc w:val="both"/>
        <w:rPr>
          <w:rFonts w:eastAsiaTheme="minorEastAsia"/>
        </w:rPr>
      </w:pPr>
      <w:r>
        <w:rPr>
          <w:rFonts w:asciiTheme="majorBidi" w:hAnsiTheme="majorBidi" w:cstheme="majorBidi"/>
        </w:rPr>
        <w:t xml:space="preserve">A consideration of the facts of the case at bar reveals the absurdity of the </w:t>
      </w:r>
      <w:r>
        <w:rPr>
          <w:rFonts w:asciiTheme="majorBidi" w:hAnsiTheme="majorBidi" w:cstheme="majorBidi"/>
          <w:i/>
          <w:iCs/>
        </w:rPr>
        <w:t xml:space="preserve">Najafi/Zahw </w:t>
      </w:r>
      <w:r>
        <w:rPr>
          <w:rFonts w:asciiTheme="majorBidi" w:hAnsiTheme="majorBidi" w:cstheme="majorBidi"/>
        </w:rPr>
        <w:t xml:space="preserve">approach. </w:t>
      </w:r>
      <w:r w:rsidR="005A1DDF">
        <w:rPr>
          <w:lang w:eastAsia="en-US"/>
        </w:rPr>
        <w:t xml:space="preserve">The BNP is a legitimate political party in </w:t>
      </w:r>
      <w:r w:rsidR="00EF776E">
        <w:rPr>
          <w:lang w:eastAsia="en-US"/>
        </w:rPr>
        <w:t xml:space="preserve">Bangladesh. Bangladesh has a democratic political system. </w:t>
      </w:r>
      <w:r w:rsidR="00EF776E" w:rsidRPr="00210BA1">
        <w:rPr>
          <w:rFonts w:asciiTheme="majorBidi" w:hAnsiTheme="majorBidi" w:cstheme="majorBidi"/>
        </w:rPr>
        <w:t>I</w:t>
      </w:r>
      <w:r w:rsidR="005A1DDF">
        <w:rPr>
          <w:lang w:eastAsia="en-US"/>
        </w:rPr>
        <w:t>t is common practice for</w:t>
      </w:r>
      <w:r w:rsidR="005A1DDF" w:rsidRPr="005D0A26">
        <w:rPr>
          <w:b/>
          <w:bCs/>
          <w:i/>
          <w:iCs/>
          <w:lang w:eastAsia="en-US"/>
        </w:rPr>
        <w:t xml:space="preserve"> both</w:t>
      </w:r>
      <w:r w:rsidR="005A1DDF">
        <w:rPr>
          <w:lang w:eastAsia="en-US"/>
        </w:rPr>
        <w:t xml:space="preserve"> </w:t>
      </w:r>
      <w:r w:rsidR="00EF776E">
        <w:rPr>
          <w:lang w:eastAsia="en-US"/>
        </w:rPr>
        <w:t xml:space="preserve">major </w:t>
      </w:r>
      <w:r w:rsidR="005A1DDF">
        <w:rPr>
          <w:lang w:eastAsia="en-US"/>
        </w:rPr>
        <w:t xml:space="preserve">political parties </w:t>
      </w:r>
      <w:r w:rsidR="00EF776E">
        <w:rPr>
          <w:lang w:eastAsia="en-US"/>
        </w:rPr>
        <w:t xml:space="preserve">in Bangladesh </w:t>
      </w:r>
      <w:r w:rsidR="005A1DDF">
        <w:rPr>
          <w:lang w:eastAsia="en-US"/>
        </w:rPr>
        <w:t>to call</w:t>
      </w:r>
      <w:r w:rsidR="005A1DDF" w:rsidRPr="00210BA1">
        <w:rPr>
          <w:i/>
          <w:iCs/>
          <w:lang w:eastAsia="en-US"/>
        </w:rPr>
        <w:t xml:space="preserve"> </w:t>
      </w:r>
      <w:r w:rsidR="00142B5C">
        <w:rPr>
          <w:lang w:eastAsia="en-US"/>
        </w:rPr>
        <w:t xml:space="preserve">for </w:t>
      </w:r>
      <w:r w:rsidR="005A1DDF" w:rsidRPr="00EF776E">
        <w:rPr>
          <w:lang w:eastAsia="en-US"/>
        </w:rPr>
        <w:t xml:space="preserve">hartals </w:t>
      </w:r>
      <w:r w:rsidR="005A1DDF">
        <w:rPr>
          <w:lang w:eastAsia="en-US"/>
        </w:rPr>
        <w:t>as a means</w:t>
      </w:r>
      <w:r>
        <w:rPr>
          <w:lang w:eastAsia="en-US"/>
        </w:rPr>
        <w:t xml:space="preserve"> of applying political pressure</w:t>
      </w:r>
      <w:r w:rsidR="00FC2C8C">
        <w:rPr>
          <w:lang w:eastAsia="en-US"/>
        </w:rPr>
        <w:t xml:space="preserve"> (see, e.g., </w:t>
      </w:r>
      <w:r w:rsidR="00FC2C8C" w:rsidRPr="00275E65">
        <w:rPr>
          <w:i/>
          <w:iCs/>
          <w:lang w:eastAsia="en-US"/>
        </w:rPr>
        <w:t>AK v Canada (Minister of Citizenship and Immigration)</w:t>
      </w:r>
      <w:r w:rsidR="00FC2C8C" w:rsidRPr="00FC2C8C">
        <w:rPr>
          <w:lang w:eastAsia="en-US"/>
        </w:rPr>
        <w:t>, 2018 FC 236</w:t>
      </w:r>
      <w:r w:rsidR="00FC2C8C">
        <w:rPr>
          <w:lang w:eastAsia="en-US"/>
        </w:rPr>
        <w:t xml:space="preserve"> at para 24)</w:t>
      </w:r>
      <w:r w:rsidR="005A1DDF">
        <w:rPr>
          <w:lang w:eastAsia="en-US"/>
        </w:rPr>
        <w:t xml:space="preserve">. </w:t>
      </w:r>
      <w:r w:rsidR="00EF776E">
        <w:rPr>
          <w:lang w:eastAsia="en-US"/>
        </w:rPr>
        <w:t>The BNP</w:t>
      </w:r>
      <w:r w:rsidR="00D945E6">
        <w:rPr>
          <w:lang w:eastAsia="en-US"/>
        </w:rPr>
        <w:t xml:space="preserve"> calls for hartals for the same reason that</w:t>
      </w:r>
      <w:r w:rsidR="00EF776E">
        <w:rPr>
          <w:lang w:eastAsia="en-US"/>
        </w:rPr>
        <w:t xml:space="preserve"> many other legitimate political parties in a democratic system</w:t>
      </w:r>
      <w:r w:rsidR="00D945E6">
        <w:rPr>
          <w:lang w:eastAsia="en-US"/>
        </w:rPr>
        <w:t xml:space="preserve"> </w:t>
      </w:r>
      <w:r w:rsidR="00142B5C">
        <w:rPr>
          <w:lang w:eastAsia="en-US"/>
        </w:rPr>
        <w:t>engage in various political activities</w:t>
      </w:r>
      <w:r>
        <w:rPr>
          <w:lang w:eastAsia="en-US"/>
        </w:rPr>
        <w:t xml:space="preserve"> – </w:t>
      </w:r>
      <w:r w:rsidR="00EF776E">
        <w:rPr>
          <w:lang w:eastAsia="en-US"/>
        </w:rPr>
        <w:t xml:space="preserve">to seek </w:t>
      </w:r>
      <w:r w:rsidR="00D945E6">
        <w:rPr>
          <w:lang w:eastAsia="en-US"/>
        </w:rPr>
        <w:t xml:space="preserve">a peaceful </w:t>
      </w:r>
      <w:r w:rsidR="00EF776E">
        <w:rPr>
          <w:lang w:eastAsia="en-US"/>
        </w:rPr>
        <w:t xml:space="preserve">transition of power by winning against the present </w:t>
      </w:r>
      <w:r w:rsidR="00EF776E">
        <w:rPr>
          <w:rFonts w:hint="eastAsia"/>
        </w:rPr>
        <w:t>ruling</w:t>
      </w:r>
      <w:r w:rsidR="00EF776E">
        <w:t xml:space="preserve"> </w:t>
      </w:r>
      <w:r w:rsidR="00EF776E">
        <w:rPr>
          <w:lang w:eastAsia="en-US"/>
        </w:rPr>
        <w:t>party.</w:t>
      </w:r>
      <w:r w:rsidR="00EF776E" w:rsidRPr="00F8402A">
        <w:rPr>
          <w:rFonts w:asciiTheme="majorBidi" w:hAnsiTheme="majorBidi" w:cstheme="majorBidi"/>
        </w:rPr>
        <w:t xml:space="preserve"> </w:t>
      </w:r>
      <w:r w:rsidRPr="00F8402A">
        <w:rPr>
          <w:rFonts w:asciiTheme="majorBidi" w:hAnsiTheme="majorBidi" w:cstheme="majorBidi"/>
        </w:rPr>
        <w:t xml:space="preserve">There is no evidence on record that the calling of hartals, either in this case or on previous occasions when hartals have occurred, has led to the nondemocractic overthrow of the Bangladeshi government. </w:t>
      </w:r>
    </w:p>
    <w:p w14:paraId="7585F71B" w14:textId="3A8475FE" w:rsidR="00F8402A" w:rsidRPr="005D0A26" w:rsidRDefault="00F8402A" w:rsidP="00F8402A">
      <w:pPr>
        <w:pStyle w:val="ListParagraph"/>
        <w:numPr>
          <w:ilvl w:val="0"/>
          <w:numId w:val="1"/>
        </w:numPr>
        <w:spacing w:line="480" w:lineRule="auto"/>
        <w:ind w:left="0" w:firstLine="0"/>
        <w:jc w:val="both"/>
        <w:rPr>
          <w:rFonts w:eastAsiaTheme="minorEastAsia"/>
        </w:rPr>
      </w:pPr>
      <w:r>
        <w:rPr>
          <w:rFonts w:asciiTheme="majorBidi" w:hAnsiTheme="majorBidi" w:cstheme="majorBidi"/>
        </w:rPr>
        <w:t xml:space="preserve">Although the case law does not expressly preclude taking into account the legitimate democratic function of an organization in a determination under s. 34(1)(b), the Officer failed to give the nature of the BNP as a legitimate political party significant weight, and instead </w:t>
      </w:r>
      <w:r w:rsidRPr="00114978">
        <w:rPr>
          <w:rFonts w:asciiTheme="majorBidi" w:hAnsiTheme="majorBidi" w:cstheme="majorBidi"/>
        </w:rPr>
        <w:t xml:space="preserve">reached an absurd conclusion: </w:t>
      </w:r>
      <w:r>
        <w:rPr>
          <w:rFonts w:asciiTheme="majorBidi" w:hAnsiTheme="majorBidi" w:cstheme="majorBidi"/>
        </w:rPr>
        <w:t>that a</w:t>
      </w:r>
      <w:r w:rsidRPr="00114978">
        <w:rPr>
          <w:rFonts w:asciiTheme="majorBidi" w:hAnsiTheme="majorBidi" w:cstheme="majorBidi"/>
        </w:rPr>
        <w:t xml:space="preserve"> recognized political party carrying out </w:t>
      </w:r>
      <w:r>
        <w:rPr>
          <w:rFonts w:asciiTheme="majorBidi" w:hAnsiTheme="majorBidi" w:cstheme="majorBidi"/>
        </w:rPr>
        <w:t>a legitimate</w:t>
      </w:r>
      <w:r w:rsidRPr="00114978">
        <w:rPr>
          <w:rFonts w:asciiTheme="majorBidi" w:hAnsiTheme="majorBidi" w:cstheme="majorBidi"/>
        </w:rPr>
        <w:t xml:space="preserve"> political activit</w:t>
      </w:r>
      <w:r>
        <w:rPr>
          <w:rFonts w:asciiTheme="majorBidi" w:hAnsiTheme="majorBidi" w:cstheme="majorBidi"/>
        </w:rPr>
        <w:t>y – a strike –</w:t>
      </w:r>
      <w:r w:rsidRPr="00210BA1">
        <w:rPr>
          <w:rFonts w:asciiTheme="majorBidi" w:hAnsiTheme="majorBidi" w:cstheme="majorBidi"/>
        </w:rPr>
        <w:t xml:space="preserve"> is </w:t>
      </w:r>
      <w:r>
        <w:rPr>
          <w:rFonts w:asciiTheme="majorBidi" w:hAnsiTheme="majorBidi" w:cstheme="majorBidi"/>
        </w:rPr>
        <w:t>considered to be</w:t>
      </w:r>
      <w:r w:rsidRPr="00210BA1">
        <w:rPr>
          <w:rFonts w:asciiTheme="majorBidi" w:hAnsiTheme="majorBidi" w:cstheme="majorBidi"/>
        </w:rPr>
        <w:t xml:space="preserve"> </w:t>
      </w:r>
      <w:r>
        <w:rPr>
          <w:rFonts w:asciiTheme="majorBidi" w:hAnsiTheme="majorBidi" w:cstheme="majorBidi"/>
        </w:rPr>
        <w:t xml:space="preserve">engaging in </w:t>
      </w:r>
      <w:r w:rsidRPr="00210BA1">
        <w:rPr>
          <w:rFonts w:asciiTheme="majorBidi" w:hAnsiTheme="majorBidi" w:cstheme="majorBidi"/>
        </w:rPr>
        <w:t xml:space="preserve">subversion of a government. </w:t>
      </w:r>
      <w:r>
        <w:rPr>
          <w:rFonts w:asciiTheme="majorBidi" w:hAnsiTheme="majorBidi" w:cstheme="majorBidi"/>
        </w:rPr>
        <w:t xml:space="preserve">In so doing, the Officer committed an error, and insofar as he did so by following the </w:t>
      </w:r>
      <w:r>
        <w:rPr>
          <w:rFonts w:asciiTheme="majorBidi" w:hAnsiTheme="majorBidi" w:cstheme="majorBidi"/>
          <w:i/>
          <w:iCs/>
        </w:rPr>
        <w:t xml:space="preserve">Najafi/Zahw </w:t>
      </w:r>
      <w:r>
        <w:rPr>
          <w:rFonts w:asciiTheme="majorBidi" w:hAnsiTheme="majorBidi" w:cstheme="majorBidi"/>
        </w:rPr>
        <w:t xml:space="preserve">approach, this Court should reconsider the overbroad interpretation of 34(1)(b) created by </w:t>
      </w:r>
      <w:r w:rsidRPr="00D64C98">
        <w:rPr>
          <w:rFonts w:asciiTheme="majorBidi" w:hAnsiTheme="majorBidi" w:cstheme="majorBidi"/>
          <w:i/>
          <w:iCs/>
        </w:rPr>
        <w:t>Najafi/Zahw</w:t>
      </w:r>
      <w:r>
        <w:rPr>
          <w:rFonts w:asciiTheme="majorBidi" w:hAnsiTheme="majorBidi" w:cstheme="majorBidi"/>
        </w:rPr>
        <w:t xml:space="preserve">. </w:t>
      </w:r>
    </w:p>
    <w:p w14:paraId="45DF8EB2" w14:textId="76FC1A66" w:rsidR="003E72FD" w:rsidRDefault="007639FD" w:rsidP="007639FD">
      <w:pPr>
        <w:pStyle w:val="ListParagraph"/>
        <w:numPr>
          <w:ilvl w:val="0"/>
          <w:numId w:val="1"/>
        </w:numPr>
        <w:spacing w:line="480" w:lineRule="auto"/>
        <w:ind w:left="0" w:firstLine="0"/>
        <w:jc w:val="both"/>
      </w:pPr>
      <w:r>
        <w:rPr>
          <w:lang w:eastAsia="en-US"/>
        </w:rPr>
        <w:t xml:space="preserve">The mere fact that legitimate political protests or strikes are followed by incidents of violence should not be sufficient to render those activities “subversion by force” for purposes of </w:t>
      </w:r>
      <w:r w:rsidR="00163D38">
        <w:rPr>
          <w:lang w:eastAsia="en-US"/>
        </w:rPr>
        <w:t xml:space="preserve">s. </w:t>
      </w:r>
      <w:r>
        <w:rPr>
          <w:lang w:eastAsia="en-US"/>
        </w:rPr>
        <w:t xml:space="preserve">34(1)(b). As the Officer acknowledges in his decision, the purpose of the </w:t>
      </w:r>
      <w:r w:rsidRPr="005D0A26">
        <w:rPr>
          <w:i/>
          <w:iCs/>
          <w:lang w:eastAsia="en-US"/>
        </w:rPr>
        <w:t>hartals</w:t>
      </w:r>
      <w:r>
        <w:rPr>
          <w:lang w:eastAsia="en-US"/>
        </w:rPr>
        <w:t xml:space="preserve"> was to “disrupt and affect the result of democratic elections” – a legitimate goal for a legitimate political party.  The characterization of </w:t>
      </w:r>
      <w:r w:rsidR="003E72FD" w:rsidRPr="00F57831">
        <w:t xml:space="preserve">legitimate political protests as subversion by force </w:t>
      </w:r>
      <w:r>
        <w:t>simply because</w:t>
      </w:r>
      <w:r w:rsidR="003E72FD" w:rsidRPr="00F57831">
        <w:t xml:space="preserve"> those protests were followed </w:t>
      </w:r>
      <w:r>
        <w:t xml:space="preserve">or accompanied </w:t>
      </w:r>
      <w:r w:rsidR="003E72FD" w:rsidRPr="00F57831">
        <w:t>by incidents of violence</w:t>
      </w:r>
      <w:r>
        <w:t xml:space="preserve"> would mean that</w:t>
      </w:r>
      <w:r w:rsidR="003E72FD">
        <w:t xml:space="preserve"> any member of the American Republican Party or the Black Lives Matter movement would be found inadmissible pursuant to this provision, as both of those organizations have engaged in protests that, on occasion</w:t>
      </w:r>
      <w:r>
        <w:t xml:space="preserve"> (and foreseeably)</w:t>
      </w:r>
      <w:r w:rsidR="003E72FD">
        <w:t>, devolved into violence.</w:t>
      </w:r>
    </w:p>
    <w:p w14:paraId="114CDFFE" w14:textId="6A148B59" w:rsidR="007639FD" w:rsidRDefault="007639FD" w:rsidP="005D0A26">
      <w:pPr>
        <w:pStyle w:val="ListParagraph"/>
        <w:rPr>
          <w:rFonts w:asciiTheme="majorBidi" w:hAnsiTheme="majorBidi" w:cstheme="majorBidi"/>
        </w:rPr>
      </w:pPr>
      <w:r w:rsidRPr="00ED38AC">
        <w:rPr>
          <w:rFonts w:asciiTheme="majorBidi" w:hAnsiTheme="majorBidi" w:cstheme="majorBidi"/>
        </w:rPr>
        <w:t>Officer’s reasons</w:t>
      </w:r>
      <w:r w:rsidRPr="002A3411">
        <w:rPr>
          <w:rFonts w:asciiTheme="majorBidi" w:hAnsiTheme="majorBidi" w:cstheme="majorBidi"/>
          <w:i/>
          <w:iCs/>
        </w:rPr>
        <w:t xml:space="preserve"> </w:t>
      </w:r>
      <w:r w:rsidRPr="004307D8">
        <w:rPr>
          <w:rFonts w:asciiTheme="majorBidi" w:hAnsiTheme="majorBidi" w:cstheme="majorBidi"/>
        </w:rPr>
        <w:t xml:space="preserve">at para </w:t>
      </w:r>
      <w:r>
        <w:rPr>
          <w:rFonts w:asciiTheme="majorBidi" w:hAnsiTheme="majorBidi" w:cstheme="majorBidi"/>
        </w:rPr>
        <w:t>33</w:t>
      </w:r>
      <w:r w:rsidR="00674C82">
        <w:rPr>
          <w:rFonts w:asciiTheme="majorBidi" w:hAnsiTheme="majorBidi" w:cstheme="majorBidi"/>
        </w:rPr>
        <w:t>.</w:t>
      </w:r>
    </w:p>
    <w:p w14:paraId="27E7B6D1" w14:textId="77777777" w:rsidR="007639FD" w:rsidRPr="005D0A26" w:rsidRDefault="007639FD" w:rsidP="005D0A26">
      <w:pPr>
        <w:pStyle w:val="ListParagraph"/>
        <w:rPr>
          <w:rFonts w:asciiTheme="majorBidi" w:hAnsiTheme="majorBidi" w:cstheme="majorBidi"/>
        </w:rPr>
      </w:pPr>
    </w:p>
    <w:p w14:paraId="05CACE02" w14:textId="6B413D98" w:rsidR="007639FD" w:rsidRDefault="00F07A6E" w:rsidP="00AE3BC3">
      <w:pPr>
        <w:pStyle w:val="ListParagraph"/>
        <w:numPr>
          <w:ilvl w:val="0"/>
          <w:numId w:val="1"/>
        </w:numPr>
        <w:spacing w:line="480" w:lineRule="auto"/>
        <w:ind w:left="0" w:firstLine="0"/>
        <w:jc w:val="both"/>
        <w:rPr>
          <w:lang w:eastAsia="en-US"/>
        </w:rPr>
      </w:pPr>
      <w:r>
        <w:rPr>
          <w:lang w:eastAsia="en-US"/>
        </w:rPr>
        <w:t>Hartals are general and national strikes or protests in Bangladesh. Calling for hartals is a common political strategy for</w:t>
      </w:r>
      <w:r w:rsidR="007639FD">
        <w:rPr>
          <w:lang w:eastAsia="en-US"/>
        </w:rPr>
        <w:t xml:space="preserve"> both major</w:t>
      </w:r>
      <w:r>
        <w:rPr>
          <w:lang w:eastAsia="en-US"/>
        </w:rPr>
        <w:t xml:space="preserve"> political parties in the country. By </w:t>
      </w:r>
      <w:r w:rsidR="007639FD">
        <w:rPr>
          <w:lang w:eastAsia="en-US"/>
        </w:rPr>
        <w:t xml:space="preserve">characterizing </w:t>
      </w:r>
      <w:r>
        <w:rPr>
          <w:lang w:eastAsia="en-US"/>
        </w:rPr>
        <w:t xml:space="preserve">such strikes </w:t>
      </w:r>
      <w:r w:rsidR="007639FD">
        <w:rPr>
          <w:lang w:eastAsia="en-US"/>
        </w:rPr>
        <w:t xml:space="preserve">as </w:t>
      </w:r>
      <w:r>
        <w:rPr>
          <w:lang w:eastAsia="en-US"/>
        </w:rPr>
        <w:t xml:space="preserve">subversion by force without any consideration for the legitimate democratic function of these strikes, a broad and unrestricted application of the provision essentially “sanction[s] a legitimate political party’s attempt to change the government or alter government policy through legitimate and appropriate activities within the confines of that democratic system.” </w:t>
      </w:r>
    </w:p>
    <w:p w14:paraId="56472656" w14:textId="4B9AE885" w:rsidR="007639FD" w:rsidRDefault="007639FD" w:rsidP="005D0A26">
      <w:pPr>
        <w:pStyle w:val="ListParagraph"/>
        <w:spacing w:line="480" w:lineRule="auto"/>
        <w:jc w:val="both"/>
        <w:rPr>
          <w:lang w:eastAsia="en-US"/>
        </w:rPr>
      </w:pPr>
      <w:r w:rsidRPr="00AE3BC3">
        <w:rPr>
          <w:rFonts w:asciiTheme="majorBidi" w:hAnsiTheme="majorBidi" w:cstheme="majorBidi"/>
          <w:i/>
          <w:iCs/>
        </w:rPr>
        <w:t>Chowdhury, supra</w:t>
      </w:r>
      <w:r w:rsidRPr="00AE3BC3">
        <w:rPr>
          <w:rFonts w:asciiTheme="majorBidi" w:hAnsiTheme="majorBidi" w:cstheme="majorBidi"/>
        </w:rPr>
        <w:t xml:space="preserve"> </w:t>
      </w:r>
      <w:r w:rsidR="00B10BD8">
        <w:rPr>
          <w:rFonts w:asciiTheme="majorBidi" w:hAnsiTheme="majorBidi" w:cstheme="majorBidi"/>
        </w:rPr>
        <w:t xml:space="preserve">para 15 </w:t>
      </w:r>
      <w:r w:rsidRPr="00AE3BC3">
        <w:rPr>
          <w:rFonts w:asciiTheme="majorBidi" w:hAnsiTheme="majorBidi" w:cstheme="majorBidi"/>
        </w:rPr>
        <w:t>at para 32.</w:t>
      </w:r>
    </w:p>
    <w:p w14:paraId="6F6DD073" w14:textId="6C397212" w:rsidR="00AE3BC3" w:rsidRDefault="00F07A6E" w:rsidP="00AE3BC3">
      <w:pPr>
        <w:pStyle w:val="ListParagraph"/>
        <w:numPr>
          <w:ilvl w:val="0"/>
          <w:numId w:val="1"/>
        </w:numPr>
        <w:spacing w:line="480" w:lineRule="auto"/>
        <w:ind w:left="0" w:firstLine="0"/>
        <w:jc w:val="both"/>
        <w:rPr>
          <w:lang w:eastAsia="en-US"/>
        </w:rPr>
      </w:pPr>
      <w:r>
        <w:rPr>
          <w:lang w:eastAsia="en-US"/>
        </w:rPr>
        <w:t xml:space="preserve">The same activities, if they were to take place in Canada, would be protected under section 2 of the </w:t>
      </w:r>
      <w:r w:rsidRPr="00E1433A">
        <w:rPr>
          <w:i/>
          <w:iCs/>
          <w:lang w:eastAsia="en-US"/>
        </w:rPr>
        <w:t>Charter</w:t>
      </w:r>
      <w:r>
        <w:rPr>
          <w:lang w:eastAsia="en-US"/>
        </w:rPr>
        <w:t xml:space="preserve">. In this sense, an interpretation of s. 34(1)(b) that does not take into consideration the legitimate democratic function of an organization is inconsistent with </w:t>
      </w:r>
      <w:r w:rsidRPr="00E1433A">
        <w:rPr>
          <w:i/>
          <w:iCs/>
          <w:lang w:eastAsia="en-US"/>
        </w:rPr>
        <w:t>Charter</w:t>
      </w:r>
      <w:r>
        <w:rPr>
          <w:i/>
          <w:iCs/>
          <w:lang w:eastAsia="en-US"/>
        </w:rPr>
        <w:t xml:space="preserve"> </w:t>
      </w:r>
      <w:r>
        <w:rPr>
          <w:lang w:eastAsia="en-US"/>
        </w:rPr>
        <w:t>values</w:t>
      </w:r>
      <w:r w:rsidR="00AE3BC3">
        <w:rPr>
          <w:lang w:eastAsia="en-US"/>
        </w:rPr>
        <w:t>.</w:t>
      </w:r>
      <w:r w:rsidR="00AE3BC3" w:rsidRPr="00AE3BC3">
        <w:rPr>
          <w:lang w:eastAsia="en-US"/>
        </w:rPr>
        <w:t xml:space="preserve"> </w:t>
      </w:r>
      <w:r w:rsidR="00AE3BC3">
        <w:rPr>
          <w:lang w:eastAsia="en-US"/>
        </w:rPr>
        <w:t xml:space="preserve">It is expressly set out in </w:t>
      </w:r>
      <w:r w:rsidR="00AC7583">
        <w:rPr>
          <w:lang w:eastAsia="en-US"/>
        </w:rPr>
        <w:t xml:space="preserve">s. 3(3)(d) of </w:t>
      </w:r>
      <w:r w:rsidR="00AE3BC3">
        <w:rPr>
          <w:lang w:eastAsia="en-US"/>
        </w:rPr>
        <w:t xml:space="preserve">the </w:t>
      </w:r>
      <w:r w:rsidR="00AE3BC3" w:rsidRPr="006605CA">
        <w:rPr>
          <w:i/>
          <w:iCs/>
          <w:lang w:eastAsia="en-US"/>
        </w:rPr>
        <w:t>IRPA</w:t>
      </w:r>
      <w:r w:rsidR="00AE3BC3">
        <w:rPr>
          <w:lang w:eastAsia="en-US"/>
        </w:rPr>
        <w:t xml:space="preserve"> that the Act must be applied in a manner that is</w:t>
      </w:r>
      <w:r w:rsidR="00AE3BC3" w:rsidRPr="00D447AC">
        <w:rPr>
          <w:lang w:eastAsia="en-US"/>
        </w:rPr>
        <w:t xml:space="preserve"> consistent with the </w:t>
      </w:r>
      <w:r w:rsidR="00AE3BC3" w:rsidRPr="006605CA">
        <w:rPr>
          <w:i/>
          <w:iCs/>
          <w:lang w:eastAsia="en-US"/>
        </w:rPr>
        <w:t>Charte</w:t>
      </w:r>
      <w:r w:rsidR="00AE3BC3" w:rsidRPr="003E72FD">
        <w:rPr>
          <w:i/>
          <w:iCs/>
          <w:lang w:eastAsia="en-US"/>
        </w:rPr>
        <w:t>r</w:t>
      </w:r>
      <w:r w:rsidR="00AE3BC3" w:rsidRPr="003E72FD">
        <w:rPr>
          <w:lang w:eastAsia="en-US"/>
        </w:rPr>
        <w:t xml:space="preserve">. </w:t>
      </w:r>
      <w:r w:rsidR="00AE3BC3">
        <w:rPr>
          <w:lang w:eastAsia="en-US"/>
        </w:rPr>
        <w:t xml:space="preserve">The broad interpretation cannot be said to have been intended by Parliament. </w:t>
      </w:r>
      <w:r w:rsidR="00504701">
        <w:rPr>
          <w:lang w:eastAsia="en-US"/>
        </w:rPr>
        <w:t>A</w:t>
      </w:r>
      <w:r w:rsidR="00504701" w:rsidRPr="003E72FD">
        <w:rPr>
          <w:lang w:eastAsia="en-US"/>
        </w:rPr>
        <w:t xml:space="preserve"> </w:t>
      </w:r>
      <w:r w:rsidR="00AE3BC3" w:rsidRPr="005D0A26">
        <w:rPr>
          <w:lang w:eastAsia="en-US"/>
        </w:rPr>
        <w:t>presumption</w:t>
      </w:r>
      <w:r w:rsidR="00504701">
        <w:rPr>
          <w:lang w:eastAsia="en-US"/>
        </w:rPr>
        <w:t xml:space="preserve"> in favour of legitimate political parties</w:t>
      </w:r>
      <w:r w:rsidR="00AE3BC3" w:rsidRPr="003E72FD">
        <w:rPr>
          <w:lang w:eastAsia="en-US"/>
        </w:rPr>
        <w:t xml:space="preserve"> recognizes the fundamental right </w:t>
      </w:r>
      <w:r w:rsidR="00504701">
        <w:rPr>
          <w:lang w:eastAsia="en-US"/>
        </w:rPr>
        <w:t xml:space="preserve">of all individuals </w:t>
      </w:r>
      <w:r w:rsidR="00AE3BC3" w:rsidRPr="003E72FD">
        <w:rPr>
          <w:lang w:eastAsia="en-US"/>
        </w:rPr>
        <w:t xml:space="preserve">to participate in legitimate political activities, preventing acts that are in </w:t>
      </w:r>
      <w:r w:rsidR="00504701">
        <w:rPr>
          <w:lang w:eastAsia="en-US"/>
        </w:rPr>
        <w:t>keeping</w:t>
      </w:r>
      <w:r w:rsidR="00504701" w:rsidRPr="003E72FD">
        <w:rPr>
          <w:lang w:eastAsia="en-US"/>
        </w:rPr>
        <w:t xml:space="preserve"> </w:t>
      </w:r>
      <w:r w:rsidR="00AE3BC3" w:rsidRPr="003E72FD">
        <w:rPr>
          <w:lang w:eastAsia="en-US"/>
        </w:rPr>
        <w:t xml:space="preserve">with </w:t>
      </w:r>
      <w:r w:rsidR="00AE3BC3" w:rsidRPr="003E72FD">
        <w:rPr>
          <w:i/>
          <w:iCs/>
          <w:lang w:eastAsia="en-US"/>
        </w:rPr>
        <w:t>Charter</w:t>
      </w:r>
      <w:r w:rsidR="00AE3BC3" w:rsidRPr="003E72FD">
        <w:rPr>
          <w:lang w:eastAsia="en-US"/>
        </w:rPr>
        <w:t xml:space="preserve"> values from being punished by the </w:t>
      </w:r>
      <w:r w:rsidR="00AE3BC3" w:rsidRPr="003E72FD">
        <w:rPr>
          <w:i/>
          <w:iCs/>
          <w:lang w:eastAsia="en-US"/>
        </w:rPr>
        <w:t>IRPA</w:t>
      </w:r>
      <w:r w:rsidR="00AE3BC3" w:rsidRPr="003E72FD">
        <w:rPr>
          <w:lang w:eastAsia="en-US"/>
        </w:rPr>
        <w:t>.</w:t>
      </w:r>
    </w:p>
    <w:p w14:paraId="2EBE7047" w14:textId="5BC7A54F" w:rsidR="00AE3BC3" w:rsidRDefault="00AE3BC3" w:rsidP="00AE3BC3">
      <w:pPr>
        <w:pStyle w:val="ListParagraph"/>
        <w:jc w:val="both"/>
        <w:rPr>
          <w:rFonts w:asciiTheme="majorBidi" w:hAnsiTheme="majorBidi" w:cstheme="majorBidi"/>
          <w:i/>
          <w:iCs/>
        </w:rPr>
      </w:pPr>
      <w:r w:rsidRPr="006605CA">
        <w:rPr>
          <w:rFonts w:asciiTheme="majorBidi" w:hAnsiTheme="majorBidi" w:cstheme="majorBidi"/>
          <w:i/>
          <w:iCs/>
        </w:rPr>
        <w:t>Canadian Charter of Rights and Freedoms</w:t>
      </w:r>
      <w:r w:rsidRPr="00B238DE">
        <w:rPr>
          <w:rFonts w:asciiTheme="majorBidi" w:hAnsiTheme="majorBidi" w:cstheme="majorBidi"/>
        </w:rPr>
        <w:t>,</w:t>
      </w:r>
      <w:r w:rsidRPr="006605CA">
        <w:rPr>
          <w:rFonts w:asciiTheme="majorBidi" w:hAnsiTheme="majorBidi" w:cstheme="majorBidi"/>
          <w:i/>
          <w:iCs/>
        </w:rPr>
        <w:t xml:space="preserve"> </w:t>
      </w:r>
      <w:r w:rsidR="00B238DE">
        <w:rPr>
          <w:rFonts w:asciiTheme="majorBidi" w:hAnsiTheme="majorBidi" w:cstheme="majorBidi"/>
        </w:rPr>
        <w:t xml:space="preserve">s 2, </w:t>
      </w:r>
      <w:r w:rsidRPr="006605CA">
        <w:rPr>
          <w:rFonts w:asciiTheme="majorBidi" w:hAnsiTheme="majorBidi" w:cstheme="majorBidi"/>
        </w:rPr>
        <w:t xml:space="preserve">Part I of the Constitution Act, 1982, being Schedule B to the Canada Act 1982 (U.K.), 1982, c 11 </w:t>
      </w:r>
      <w:r w:rsidRPr="00C75D41">
        <w:rPr>
          <w:rFonts w:asciiTheme="majorBidi" w:hAnsiTheme="majorBidi" w:cstheme="majorBidi"/>
        </w:rPr>
        <w:t>[</w:t>
      </w:r>
      <w:r w:rsidRPr="006605CA">
        <w:rPr>
          <w:rFonts w:asciiTheme="majorBidi" w:hAnsiTheme="majorBidi" w:cstheme="majorBidi"/>
          <w:i/>
          <w:iCs/>
        </w:rPr>
        <w:t>Charter</w:t>
      </w:r>
      <w:r w:rsidRPr="00C75D41">
        <w:rPr>
          <w:rFonts w:asciiTheme="majorBidi" w:hAnsiTheme="majorBidi" w:cstheme="majorBidi"/>
        </w:rPr>
        <w:t>]</w:t>
      </w:r>
      <w:r w:rsidRPr="006605CA">
        <w:rPr>
          <w:rFonts w:asciiTheme="majorBidi" w:hAnsiTheme="majorBidi" w:cstheme="majorBidi"/>
          <w:i/>
          <w:iCs/>
        </w:rPr>
        <w:t>.</w:t>
      </w:r>
    </w:p>
    <w:p w14:paraId="1319DAE3" w14:textId="77777777" w:rsidR="007639FD" w:rsidRPr="006605CA" w:rsidRDefault="007639FD" w:rsidP="00AE3BC3">
      <w:pPr>
        <w:pStyle w:val="ListParagraph"/>
        <w:jc w:val="both"/>
        <w:rPr>
          <w:rFonts w:asciiTheme="majorBidi" w:hAnsiTheme="majorBidi" w:cstheme="majorBidi"/>
        </w:rPr>
      </w:pPr>
    </w:p>
    <w:p w14:paraId="6D1AE4C8" w14:textId="3E549868" w:rsidR="002E4B99" w:rsidRPr="00AE3BC3" w:rsidRDefault="00F07A6E" w:rsidP="007262CD">
      <w:pPr>
        <w:pStyle w:val="ListParagraph"/>
        <w:numPr>
          <w:ilvl w:val="0"/>
          <w:numId w:val="1"/>
        </w:numPr>
        <w:spacing w:line="480" w:lineRule="auto"/>
        <w:ind w:left="0" w:firstLine="0"/>
        <w:jc w:val="both"/>
        <w:rPr>
          <w:rFonts w:eastAsiaTheme="minorEastAsia"/>
        </w:rPr>
      </w:pPr>
      <w:r>
        <w:rPr>
          <w:lang w:eastAsia="en-US"/>
        </w:rPr>
        <w:t xml:space="preserve">It is hard to imagine that </w:t>
      </w:r>
      <w:r w:rsidR="00504701">
        <w:rPr>
          <w:lang w:eastAsia="en-US"/>
        </w:rPr>
        <w:t xml:space="preserve">the </w:t>
      </w:r>
      <w:r>
        <w:rPr>
          <w:lang w:eastAsia="en-US"/>
        </w:rPr>
        <w:t>a</w:t>
      </w:r>
      <w:r w:rsidR="00D447AC" w:rsidRPr="00535BAA">
        <w:rPr>
          <w:lang w:eastAsia="en-US"/>
        </w:rPr>
        <w:t xml:space="preserve">bsurd results </w:t>
      </w:r>
      <w:r w:rsidR="00504701">
        <w:rPr>
          <w:lang w:eastAsia="en-US"/>
        </w:rPr>
        <w:t xml:space="preserve">created by the </w:t>
      </w:r>
      <w:r w:rsidR="00504701">
        <w:rPr>
          <w:i/>
          <w:iCs/>
          <w:lang w:eastAsia="en-US"/>
        </w:rPr>
        <w:t xml:space="preserve">Najafi/Zahw </w:t>
      </w:r>
      <w:r w:rsidR="00504701">
        <w:rPr>
          <w:lang w:eastAsia="en-US"/>
        </w:rPr>
        <w:t>approach we</w:t>
      </w:r>
      <w:r>
        <w:rPr>
          <w:lang w:eastAsia="en-US"/>
        </w:rPr>
        <w:t>re intended by Parliament</w:t>
      </w:r>
      <w:r w:rsidR="00504701">
        <w:rPr>
          <w:lang w:eastAsia="en-US"/>
        </w:rPr>
        <w:t xml:space="preserve"> when it enacted the current version of </w:t>
      </w:r>
      <w:r w:rsidR="00163D38">
        <w:rPr>
          <w:lang w:eastAsia="en-US"/>
        </w:rPr>
        <w:t xml:space="preserve">s. </w:t>
      </w:r>
      <w:r w:rsidR="00504701">
        <w:rPr>
          <w:lang w:eastAsia="en-US"/>
        </w:rPr>
        <w:t>34(1)(b)</w:t>
      </w:r>
      <w:r w:rsidR="00B452A1" w:rsidRPr="00535BAA">
        <w:rPr>
          <w:lang w:eastAsia="en-US"/>
        </w:rPr>
        <w:t xml:space="preserve">. </w:t>
      </w:r>
      <w:r w:rsidR="00D447AC" w:rsidRPr="00535BAA">
        <w:rPr>
          <w:lang w:eastAsia="en-US"/>
        </w:rPr>
        <w:t xml:space="preserve">It is </w:t>
      </w:r>
      <w:r w:rsidR="00D945E6" w:rsidRPr="00535BAA">
        <w:rPr>
          <w:lang w:eastAsia="en-US"/>
        </w:rPr>
        <w:t>incumbent upon this</w:t>
      </w:r>
      <w:r w:rsidR="00D447AC" w:rsidRPr="00535BAA">
        <w:rPr>
          <w:lang w:eastAsia="en-US"/>
        </w:rPr>
        <w:t xml:space="preserve"> </w:t>
      </w:r>
      <w:r w:rsidR="00151461" w:rsidRPr="00535BAA">
        <w:rPr>
          <w:lang w:eastAsia="en-US"/>
        </w:rPr>
        <w:t>C</w:t>
      </w:r>
      <w:r w:rsidR="00D447AC" w:rsidRPr="00535BAA">
        <w:rPr>
          <w:lang w:eastAsia="en-US"/>
        </w:rPr>
        <w:t xml:space="preserve">ourt </w:t>
      </w:r>
      <w:r w:rsidR="00D945E6" w:rsidRPr="00535BAA">
        <w:rPr>
          <w:lang w:eastAsia="en-US"/>
        </w:rPr>
        <w:t>to ensure that</w:t>
      </w:r>
      <w:r w:rsidR="00D447AC" w:rsidRPr="00535BAA">
        <w:rPr>
          <w:lang w:eastAsia="en-US"/>
        </w:rPr>
        <w:t xml:space="preserve"> reasonable safeguard</w:t>
      </w:r>
      <w:r w:rsidR="00D945E6" w:rsidRPr="00535BAA">
        <w:rPr>
          <w:lang w:eastAsia="en-US"/>
        </w:rPr>
        <w:t>s</w:t>
      </w:r>
      <w:r w:rsidR="00D447AC" w:rsidRPr="00535BAA">
        <w:rPr>
          <w:lang w:eastAsia="en-US"/>
        </w:rPr>
        <w:t xml:space="preserve"> </w:t>
      </w:r>
      <w:r w:rsidR="00D945E6" w:rsidRPr="00535BAA">
        <w:rPr>
          <w:lang w:eastAsia="en-US"/>
        </w:rPr>
        <w:t>are incorporated in</w:t>
      </w:r>
      <w:r w:rsidR="00D447AC" w:rsidRPr="00535BAA">
        <w:rPr>
          <w:lang w:eastAsia="en-US"/>
        </w:rPr>
        <w:t>to the interpretation of s.</w:t>
      </w:r>
      <w:r w:rsidR="003C0780" w:rsidRPr="00535BAA">
        <w:rPr>
          <w:lang w:eastAsia="en-US"/>
        </w:rPr>
        <w:t xml:space="preserve"> </w:t>
      </w:r>
      <w:r w:rsidR="00D447AC" w:rsidRPr="00535BAA">
        <w:rPr>
          <w:lang w:eastAsia="en-US"/>
        </w:rPr>
        <w:t>34(1)(b)</w:t>
      </w:r>
      <w:r w:rsidR="00AE3BC3">
        <w:rPr>
          <w:lang w:eastAsia="en-US"/>
        </w:rPr>
        <w:t xml:space="preserve"> </w:t>
      </w:r>
      <w:r w:rsidR="00AE3BC3" w:rsidRPr="00F12612">
        <w:rPr>
          <w:lang w:eastAsia="en-US"/>
        </w:rPr>
        <w:t>and justice is served in every case, including the case at bar</w:t>
      </w:r>
      <w:r w:rsidR="00D447AC" w:rsidRPr="00F12612">
        <w:rPr>
          <w:lang w:eastAsia="en-US"/>
        </w:rPr>
        <w:t>.</w:t>
      </w:r>
      <w:r w:rsidR="007262CD" w:rsidRPr="00535BAA">
        <w:rPr>
          <w:rFonts w:eastAsiaTheme="minorEastAsia"/>
        </w:rPr>
        <w:t xml:space="preserve"> </w:t>
      </w:r>
      <w:r w:rsidR="002E4B99" w:rsidRPr="00535BAA">
        <w:rPr>
          <w:lang w:eastAsia="en-US"/>
        </w:rPr>
        <w:t>The Federal Court’s interpretation of s. 34(1)(b)</w:t>
      </w:r>
      <w:r w:rsidR="002E4B99" w:rsidRPr="00535BAA" w:rsidDel="00A57CC9">
        <w:rPr>
          <w:lang w:eastAsia="en-US"/>
        </w:rPr>
        <w:t xml:space="preserve"> </w:t>
      </w:r>
      <w:r w:rsidR="007262CD" w:rsidRPr="00535BAA">
        <w:rPr>
          <w:lang w:eastAsia="en-US"/>
        </w:rPr>
        <w:t>should be adopted</w:t>
      </w:r>
      <w:r w:rsidR="002E4B99" w:rsidRPr="00535BAA">
        <w:rPr>
          <w:lang w:eastAsia="en-US"/>
        </w:rPr>
        <w:t>. The presumption prevents legitimate political activities, such as protests, from being labelled as subversion</w:t>
      </w:r>
      <w:r w:rsidR="00504701">
        <w:rPr>
          <w:lang w:eastAsia="en-US"/>
        </w:rPr>
        <w:t xml:space="preserve"> by force without clear and convincing evidence to the contrary</w:t>
      </w:r>
      <w:r w:rsidR="002E4B99" w:rsidRPr="00535BAA">
        <w:rPr>
          <w:lang w:eastAsia="en-US"/>
        </w:rPr>
        <w:t xml:space="preserve">. The overly broad interpretation of s. 34(1)(b), on the other hand, should be rejected because it </w:t>
      </w:r>
      <w:r w:rsidR="007914D3" w:rsidRPr="00535BAA">
        <w:rPr>
          <w:lang w:eastAsia="en-US"/>
        </w:rPr>
        <w:t>creates</w:t>
      </w:r>
      <w:r w:rsidR="002E4B99" w:rsidRPr="00535BAA">
        <w:rPr>
          <w:lang w:eastAsia="en-US"/>
        </w:rPr>
        <w:t xml:space="preserve"> </w:t>
      </w:r>
      <w:r w:rsidR="007914D3" w:rsidRPr="00535BAA">
        <w:rPr>
          <w:lang w:eastAsia="en-US"/>
        </w:rPr>
        <w:t xml:space="preserve">absurd and unprincipled results </w:t>
      </w:r>
      <w:r w:rsidR="002E4B99" w:rsidRPr="00535BAA">
        <w:rPr>
          <w:lang w:eastAsia="en-US"/>
        </w:rPr>
        <w:t>that are contrary to basic democratic values.</w:t>
      </w:r>
    </w:p>
    <w:p w14:paraId="69736163" w14:textId="132D24A1" w:rsidR="00AE3BC3" w:rsidRDefault="00AE3BC3" w:rsidP="00F76B5F">
      <w:pPr>
        <w:pStyle w:val="ListParagraph"/>
        <w:numPr>
          <w:ilvl w:val="3"/>
          <w:numId w:val="24"/>
        </w:numPr>
        <w:ind w:left="1134" w:hanging="141"/>
        <w:rPr>
          <w:b/>
          <w:bCs/>
          <w:i/>
          <w:iCs/>
        </w:rPr>
      </w:pPr>
      <w:r>
        <w:rPr>
          <w:b/>
          <w:bCs/>
          <w:i/>
          <w:iCs/>
        </w:rPr>
        <w:t xml:space="preserve">The </w:t>
      </w:r>
      <w:r w:rsidR="00C20996">
        <w:rPr>
          <w:b/>
          <w:bCs/>
          <w:i/>
          <w:iCs/>
        </w:rPr>
        <w:t>Federal Court’s interpretation of s.34(1)(b)</w:t>
      </w:r>
      <w:r>
        <w:rPr>
          <w:b/>
          <w:bCs/>
          <w:i/>
          <w:iCs/>
        </w:rPr>
        <w:t xml:space="preserve"> is in line with parliamentary intent and Canada’s international obligation</w:t>
      </w:r>
    </w:p>
    <w:p w14:paraId="584514ED" w14:textId="77777777" w:rsidR="00AE3BC3" w:rsidRPr="00AE3BC3" w:rsidRDefault="00AE3BC3" w:rsidP="00AE3BC3">
      <w:pPr>
        <w:pStyle w:val="ListParagraph"/>
        <w:rPr>
          <w:b/>
          <w:bCs/>
          <w:i/>
          <w:iCs/>
        </w:rPr>
      </w:pPr>
    </w:p>
    <w:p w14:paraId="70F3702E" w14:textId="21170BF4" w:rsidR="00B25E4D" w:rsidRDefault="00F509AA" w:rsidP="00AC7CB6">
      <w:pPr>
        <w:pStyle w:val="ListParagraph"/>
        <w:numPr>
          <w:ilvl w:val="0"/>
          <w:numId w:val="1"/>
        </w:numPr>
        <w:spacing w:line="480" w:lineRule="auto"/>
        <w:ind w:left="0" w:firstLine="0"/>
        <w:jc w:val="both"/>
        <w:rPr>
          <w:lang w:eastAsia="en-US"/>
        </w:rPr>
      </w:pPr>
      <w:r w:rsidRPr="00F12612">
        <w:rPr>
          <w:lang w:eastAsia="en-US"/>
        </w:rPr>
        <w:t>The incorporation of the presumption into s. 34(1)(b), per the Federal Court’s interpretation,</w:t>
      </w:r>
      <w:r>
        <w:rPr>
          <w:lang w:eastAsia="en-US"/>
        </w:rPr>
        <w:t xml:space="preserve"> </w:t>
      </w:r>
      <w:r w:rsidR="00000AE6">
        <w:rPr>
          <w:lang w:eastAsia="en-US"/>
        </w:rPr>
        <w:t xml:space="preserve">is </w:t>
      </w:r>
      <w:r w:rsidR="00000AE6" w:rsidRPr="00275E65">
        <w:rPr>
          <w:b/>
          <w:bCs/>
          <w:i/>
          <w:iCs/>
          <w:lang w:eastAsia="en-US"/>
        </w:rPr>
        <w:t>not</w:t>
      </w:r>
      <w:r w:rsidR="00000AE6">
        <w:rPr>
          <w:lang w:eastAsia="en-US"/>
        </w:rPr>
        <w:t xml:space="preserve"> contrary to parliamentary intent to prioritize security. </w:t>
      </w:r>
      <w:r w:rsidR="00D447AC" w:rsidRPr="00212363">
        <w:rPr>
          <w:lang w:eastAsia="en-US"/>
        </w:rPr>
        <w:t>Parliament</w:t>
      </w:r>
      <w:r w:rsidR="00D447AC">
        <w:rPr>
          <w:lang w:eastAsia="en-US"/>
        </w:rPr>
        <w:t xml:space="preserve"> </w:t>
      </w:r>
      <w:r w:rsidR="00D447AC" w:rsidRPr="00A23AB4">
        <w:rPr>
          <w:lang w:eastAsia="en-US"/>
        </w:rPr>
        <w:t xml:space="preserve">indicated </w:t>
      </w:r>
      <w:r w:rsidR="00D447AC">
        <w:rPr>
          <w:lang w:eastAsia="en-US"/>
        </w:rPr>
        <w:t xml:space="preserve">an </w:t>
      </w:r>
      <w:r w:rsidR="00D447AC" w:rsidRPr="00212363">
        <w:rPr>
          <w:lang w:eastAsia="en-US"/>
        </w:rPr>
        <w:t xml:space="preserve">intent to prioritize security </w:t>
      </w:r>
      <w:r w:rsidR="00D447AC">
        <w:rPr>
          <w:lang w:eastAsia="en-US"/>
        </w:rPr>
        <w:t>(</w:t>
      </w:r>
      <w:r w:rsidR="00163D38">
        <w:rPr>
          <w:lang w:eastAsia="en-US"/>
        </w:rPr>
        <w:t xml:space="preserve">s. </w:t>
      </w:r>
      <w:r w:rsidR="00D447AC">
        <w:rPr>
          <w:lang w:eastAsia="en-US"/>
        </w:rPr>
        <w:t xml:space="preserve">3(1)(h)) </w:t>
      </w:r>
      <w:r w:rsidR="00D447AC" w:rsidRPr="00212363">
        <w:rPr>
          <w:lang w:eastAsia="en-US"/>
        </w:rPr>
        <w:t xml:space="preserve">when it enacted </w:t>
      </w:r>
      <w:r w:rsidR="00D447AC">
        <w:rPr>
          <w:lang w:eastAsia="en-US"/>
        </w:rPr>
        <w:t>s.</w:t>
      </w:r>
      <w:r w:rsidR="00D447AC" w:rsidRPr="00212363">
        <w:rPr>
          <w:lang w:eastAsia="en-US"/>
        </w:rPr>
        <w:t xml:space="preserve"> 34(1)(b)</w:t>
      </w:r>
      <w:r w:rsidR="00D447AC">
        <w:rPr>
          <w:lang w:eastAsia="en-US"/>
        </w:rPr>
        <w:t xml:space="preserve">. </w:t>
      </w:r>
      <w:r w:rsidR="00D447AC">
        <w:t xml:space="preserve">The admissibility provisions </w:t>
      </w:r>
      <w:r w:rsidR="005B22AC">
        <w:t>further</w:t>
      </w:r>
      <w:r w:rsidR="00D447AC">
        <w:t xml:space="preserve"> </w:t>
      </w:r>
      <w:r w:rsidR="00D447AC" w:rsidRPr="00BF0CAC">
        <w:t xml:space="preserve">the right of the </w:t>
      </w:r>
      <w:r w:rsidR="005B5F3F">
        <w:t xml:space="preserve">Canadian </w:t>
      </w:r>
      <w:r w:rsidR="00D447AC" w:rsidRPr="00BF0CAC">
        <w:t xml:space="preserve">government to control its </w:t>
      </w:r>
      <w:r w:rsidR="00D447AC">
        <w:t>border</w:t>
      </w:r>
      <w:r w:rsidR="005B5F3F">
        <w:t>s</w:t>
      </w:r>
      <w:r w:rsidR="00D447AC" w:rsidRPr="00BF0CAC">
        <w:t xml:space="preserve"> and to deny entry to persons who may </w:t>
      </w:r>
      <w:r w:rsidR="005B5F3F">
        <w:t>pose</w:t>
      </w:r>
      <w:r w:rsidR="005B5F3F" w:rsidRPr="00BF0CAC">
        <w:t xml:space="preserve"> </w:t>
      </w:r>
      <w:r w:rsidR="00D447AC" w:rsidRPr="00BF0CAC">
        <w:t>a threat to its security</w:t>
      </w:r>
      <w:r w:rsidR="00D447AC">
        <w:t>.</w:t>
      </w:r>
      <w:r w:rsidR="00D447AC">
        <w:rPr>
          <w:lang w:eastAsia="en-US"/>
        </w:rPr>
        <w:t xml:space="preserve"> The presumption </w:t>
      </w:r>
      <w:r w:rsidR="00A9760D">
        <w:rPr>
          <w:lang w:eastAsia="en-US"/>
        </w:rPr>
        <w:t xml:space="preserve">does not limit the government’s control over its borders. It </w:t>
      </w:r>
      <w:r w:rsidR="00D447AC">
        <w:rPr>
          <w:lang w:eastAsia="en-US"/>
        </w:rPr>
        <w:t xml:space="preserve">is rebuttable rather than dipositive. </w:t>
      </w:r>
      <w:r w:rsidR="00FE3CCA">
        <w:rPr>
          <w:lang w:eastAsia="en-US"/>
        </w:rPr>
        <w:t>If the presumption is rebutted, an individual may still be captured by s</w:t>
      </w:r>
      <w:r w:rsidR="003C0780">
        <w:rPr>
          <w:lang w:eastAsia="en-US"/>
        </w:rPr>
        <w:t>s</w:t>
      </w:r>
      <w:r w:rsidR="00FE3CCA">
        <w:rPr>
          <w:lang w:eastAsia="en-US"/>
        </w:rPr>
        <w:t>. 34(1)(b) and (f), even if the organization of which the individual is a member is a legitimate democratic one. The level of discretion granted to the government under the provision is unfettered.</w:t>
      </w:r>
      <w:r w:rsidR="005B5F3F">
        <w:rPr>
          <w:lang w:eastAsia="en-US"/>
        </w:rPr>
        <w:t xml:space="preserve"> </w:t>
      </w:r>
      <w:r w:rsidR="00E047B0">
        <w:rPr>
          <w:lang w:eastAsia="en-US"/>
        </w:rPr>
        <w:t>The presumption</w:t>
      </w:r>
      <w:r w:rsidR="005B5F3F">
        <w:rPr>
          <w:lang w:eastAsia="en-US"/>
        </w:rPr>
        <w:t xml:space="preserve"> </w:t>
      </w:r>
      <w:r w:rsidR="00A9760D">
        <w:rPr>
          <w:lang w:eastAsia="en-US"/>
        </w:rPr>
        <w:t>does not diminish the priority of security as a consideration in the application of s. 34(1)(b).</w:t>
      </w:r>
    </w:p>
    <w:p w14:paraId="2C9E3FE2" w14:textId="50B5B07C" w:rsidR="00AC7CB6" w:rsidRPr="00D7284A" w:rsidRDefault="00AC7CB6" w:rsidP="00AC7CB6">
      <w:pPr>
        <w:pStyle w:val="ListParagraph"/>
        <w:rPr>
          <w:lang w:val="fr-CA"/>
        </w:rPr>
      </w:pPr>
      <w:r w:rsidRPr="00D7284A">
        <w:rPr>
          <w:rFonts w:asciiTheme="majorBidi" w:hAnsiTheme="majorBidi" w:cstheme="majorBidi"/>
          <w:i/>
          <w:iCs/>
          <w:lang w:val="fr-CA"/>
        </w:rPr>
        <w:t>Najafi</w:t>
      </w:r>
      <w:r w:rsidRPr="00D7284A">
        <w:rPr>
          <w:rFonts w:asciiTheme="majorBidi" w:hAnsiTheme="majorBidi" w:cstheme="majorBidi" w:hint="eastAsia"/>
          <w:i/>
          <w:iCs/>
          <w:lang w:val="fr-CA"/>
        </w:rPr>
        <w:t>,</w:t>
      </w:r>
      <w:r w:rsidRPr="00D7284A">
        <w:rPr>
          <w:rFonts w:asciiTheme="majorBidi" w:hAnsiTheme="majorBidi" w:cstheme="majorBidi"/>
          <w:i/>
          <w:iCs/>
          <w:lang w:val="fr-CA"/>
        </w:rPr>
        <w:t xml:space="preserve"> supra</w:t>
      </w:r>
      <w:r w:rsidR="00B238DE" w:rsidRPr="00D7284A">
        <w:rPr>
          <w:rFonts w:asciiTheme="majorBidi" w:hAnsiTheme="majorBidi" w:cstheme="majorBidi"/>
          <w:i/>
          <w:iCs/>
          <w:lang w:val="fr-CA"/>
        </w:rPr>
        <w:t xml:space="preserve"> </w:t>
      </w:r>
      <w:r w:rsidR="00B238DE" w:rsidRPr="00D7284A">
        <w:rPr>
          <w:rFonts w:asciiTheme="majorBidi" w:hAnsiTheme="majorBidi" w:cstheme="majorBidi"/>
          <w:lang w:val="fr-CA"/>
        </w:rPr>
        <w:t xml:space="preserve">para 40 </w:t>
      </w:r>
      <w:r w:rsidRPr="00D7284A">
        <w:rPr>
          <w:rFonts w:asciiTheme="majorBidi" w:hAnsiTheme="majorBidi" w:cstheme="majorBidi"/>
          <w:lang w:val="fr-CA"/>
        </w:rPr>
        <w:t>at para 71.</w:t>
      </w:r>
    </w:p>
    <w:p w14:paraId="48EA95D7" w14:textId="00D929EF" w:rsidR="003F229B" w:rsidRDefault="00FE3CCA" w:rsidP="00184607">
      <w:pPr>
        <w:pStyle w:val="ListParagraph"/>
        <w:spacing w:line="480" w:lineRule="auto"/>
        <w:jc w:val="both"/>
        <w:rPr>
          <w:lang w:eastAsia="en-US"/>
        </w:rPr>
      </w:pPr>
      <w:r>
        <w:rPr>
          <w:rFonts w:asciiTheme="majorBidi" w:hAnsiTheme="majorBidi" w:cstheme="majorBidi"/>
          <w:i/>
          <w:iCs/>
        </w:rPr>
        <w:t>Chowdhury</w:t>
      </w:r>
      <w:r w:rsidRPr="00E90A3B">
        <w:rPr>
          <w:rFonts w:asciiTheme="majorBidi" w:hAnsiTheme="majorBidi" w:cstheme="majorBidi"/>
          <w:i/>
          <w:iCs/>
        </w:rPr>
        <w:t xml:space="preserve">, </w:t>
      </w:r>
      <w:r>
        <w:rPr>
          <w:rFonts w:asciiTheme="majorBidi" w:hAnsiTheme="majorBidi" w:cstheme="majorBidi"/>
          <w:i/>
          <w:iCs/>
        </w:rPr>
        <w:t>supr</w:t>
      </w:r>
      <w:r w:rsidR="00B238DE">
        <w:rPr>
          <w:rFonts w:asciiTheme="majorBidi" w:hAnsiTheme="majorBidi" w:cstheme="majorBidi"/>
          <w:i/>
          <w:iCs/>
        </w:rPr>
        <w:t xml:space="preserve">a </w:t>
      </w:r>
      <w:r w:rsidR="00B238DE">
        <w:rPr>
          <w:rFonts w:asciiTheme="majorBidi" w:hAnsiTheme="majorBidi" w:cstheme="majorBidi"/>
        </w:rPr>
        <w:t>para 15</w:t>
      </w:r>
      <w:r w:rsidRPr="00E90A3B">
        <w:rPr>
          <w:rFonts w:asciiTheme="majorBidi" w:hAnsiTheme="majorBidi" w:cstheme="majorBidi"/>
          <w:i/>
          <w:iCs/>
        </w:rPr>
        <w:t xml:space="preserve"> </w:t>
      </w:r>
      <w:r w:rsidRPr="00A9790B">
        <w:rPr>
          <w:rFonts w:asciiTheme="majorBidi" w:hAnsiTheme="majorBidi" w:cstheme="majorBidi"/>
        </w:rPr>
        <w:t>at para</w:t>
      </w:r>
      <w:r w:rsidR="00B238DE">
        <w:rPr>
          <w:rFonts w:asciiTheme="majorBidi" w:hAnsiTheme="majorBidi" w:cstheme="majorBidi"/>
        </w:rPr>
        <w:t>s</w:t>
      </w:r>
      <w:r>
        <w:rPr>
          <w:rFonts w:asciiTheme="majorBidi" w:hAnsiTheme="majorBidi" w:cstheme="majorBidi"/>
        </w:rPr>
        <w:t xml:space="preserve"> 23-25</w:t>
      </w:r>
      <w:r w:rsidRPr="00A9790B">
        <w:rPr>
          <w:rFonts w:asciiTheme="majorBidi" w:hAnsiTheme="majorBidi" w:cstheme="majorBidi"/>
        </w:rPr>
        <w:t>.</w:t>
      </w:r>
    </w:p>
    <w:p w14:paraId="2A0C2AF4" w14:textId="480F445B" w:rsidR="00D447AC" w:rsidRDefault="00AC7CB6" w:rsidP="00D447AC">
      <w:pPr>
        <w:pStyle w:val="ListParagraph"/>
        <w:numPr>
          <w:ilvl w:val="0"/>
          <w:numId w:val="1"/>
        </w:numPr>
        <w:spacing w:line="480" w:lineRule="auto"/>
        <w:ind w:left="0" w:firstLine="0"/>
        <w:jc w:val="both"/>
        <w:rPr>
          <w:lang w:eastAsia="en-US"/>
        </w:rPr>
      </w:pPr>
      <w:r>
        <w:rPr>
          <w:lang w:eastAsia="en-US"/>
        </w:rPr>
        <w:t xml:space="preserve">The </w:t>
      </w:r>
      <w:r w:rsidR="00E047B0" w:rsidRPr="00F509AA">
        <w:rPr>
          <w:lang w:eastAsia="en-US"/>
        </w:rPr>
        <w:t xml:space="preserve">presumption </w:t>
      </w:r>
      <w:r>
        <w:rPr>
          <w:lang w:eastAsia="en-US"/>
        </w:rPr>
        <w:t>does not mean that a legitimate democratic party can</w:t>
      </w:r>
      <w:r w:rsidR="00A833AB">
        <w:rPr>
          <w:lang w:eastAsia="en-US"/>
        </w:rPr>
        <w:t>not</w:t>
      </w:r>
      <w:r>
        <w:rPr>
          <w:lang w:eastAsia="en-US"/>
        </w:rPr>
        <w:t xml:space="preserve"> fall under s. 34(1)(b). </w:t>
      </w:r>
      <w:r w:rsidR="00FE3CCA">
        <w:rPr>
          <w:lang w:eastAsia="en-US"/>
        </w:rPr>
        <w:t xml:space="preserve">Where there is clear and convincing evidence to the contrary, the presumption is rebutted and a legitimate political party can still </w:t>
      </w:r>
      <w:r w:rsidR="005B5F3F">
        <w:rPr>
          <w:lang w:eastAsia="en-US"/>
        </w:rPr>
        <w:t>be caught by</w:t>
      </w:r>
      <w:r w:rsidR="00FE3CCA">
        <w:rPr>
          <w:lang w:eastAsia="en-US"/>
        </w:rPr>
        <w:t xml:space="preserve"> s. 34(1)(b). </w:t>
      </w:r>
      <w:r w:rsidR="00A833AB">
        <w:rPr>
          <w:lang w:eastAsia="en-US"/>
        </w:rPr>
        <w:t>W</w:t>
      </w:r>
      <w:r w:rsidR="00D447AC">
        <w:rPr>
          <w:lang w:eastAsia="en-US"/>
        </w:rPr>
        <w:t xml:space="preserve">here the evidence establishes that the conduct </w:t>
      </w:r>
      <w:r w:rsidR="005B22AC">
        <w:rPr>
          <w:lang w:eastAsia="en-US"/>
        </w:rPr>
        <w:t xml:space="preserve">of a legitimate democratic organization </w:t>
      </w:r>
      <w:r w:rsidR="005B5F3F">
        <w:rPr>
          <w:lang w:eastAsia="en-US"/>
        </w:rPr>
        <w:t>constitutes</w:t>
      </w:r>
      <w:r w:rsidR="00D447AC">
        <w:rPr>
          <w:lang w:eastAsia="en-US"/>
        </w:rPr>
        <w:t xml:space="preserve"> </w:t>
      </w:r>
      <w:r w:rsidR="00A833AB">
        <w:rPr>
          <w:lang w:eastAsia="en-US"/>
        </w:rPr>
        <w:t>an act to overthrow the government</w:t>
      </w:r>
      <w:r w:rsidR="005B22AC">
        <w:rPr>
          <w:lang w:eastAsia="en-US"/>
        </w:rPr>
        <w:t xml:space="preserve">, the presumption will be rebutted, and if the evidence </w:t>
      </w:r>
      <w:r w:rsidR="00232923">
        <w:rPr>
          <w:lang w:eastAsia="en-US"/>
        </w:rPr>
        <w:t xml:space="preserve">subsequently </w:t>
      </w:r>
      <w:r w:rsidR="005B22AC">
        <w:rPr>
          <w:lang w:eastAsia="en-US"/>
        </w:rPr>
        <w:t>establishes that</w:t>
      </w:r>
      <w:r w:rsidR="00D447AC">
        <w:rPr>
          <w:lang w:eastAsia="en-US"/>
        </w:rPr>
        <w:t xml:space="preserve"> there is intentional use of force</w:t>
      </w:r>
      <w:r w:rsidR="005B22AC">
        <w:rPr>
          <w:lang w:eastAsia="en-US"/>
        </w:rPr>
        <w:t xml:space="preserve"> in carrying out the </w:t>
      </w:r>
      <w:r w:rsidR="00F97635">
        <w:rPr>
          <w:lang w:eastAsia="en-US"/>
        </w:rPr>
        <w:t>act of subversion</w:t>
      </w:r>
      <w:r w:rsidR="00D447AC">
        <w:rPr>
          <w:lang w:eastAsia="en-US"/>
        </w:rPr>
        <w:t xml:space="preserve">, </w:t>
      </w:r>
      <w:r w:rsidR="005B22AC">
        <w:rPr>
          <w:lang w:eastAsia="en-US"/>
        </w:rPr>
        <w:t xml:space="preserve">the “subversion by force” requirement is met. </w:t>
      </w:r>
    </w:p>
    <w:p w14:paraId="2A369D26" w14:textId="7B9065BB" w:rsidR="008D6C66" w:rsidRDefault="008D6C66" w:rsidP="002373DC">
      <w:pPr>
        <w:pStyle w:val="ListParagraph"/>
        <w:spacing w:line="480" w:lineRule="auto"/>
        <w:jc w:val="both"/>
        <w:rPr>
          <w:lang w:eastAsia="en-US"/>
        </w:rPr>
      </w:pPr>
      <w:r>
        <w:rPr>
          <w:rFonts w:asciiTheme="majorBidi" w:hAnsiTheme="majorBidi" w:cstheme="majorBidi"/>
          <w:i/>
          <w:iCs/>
        </w:rPr>
        <w:t>Chowdhury</w:t>
      </w:r>
      <w:r w:rsidRPr="00E90A3B">
        <w:rPr>
          <w:rFonts w:asciiTheme="majorBidi" w:hAnsiTheme="majorBidi" w:cstheme="majorBidi"/>
          <w:i/>
          <w:iCs/>
        </w:rPr>
        <w:t xml:space="preserve">, </w:t>
      </w:r>
      <w:r>
        <w:rPr>
          <w:rFonts w:asciiTheme="majorBidi" w:hAnsiTheme="majorBidi" w:cstheme="majorBidi"/>
          <w:i/>
          <w:iCs/>
        </w:rPr>
        <w:t>supra</w:t>
      </w:r>
      <w:r w:rsidR="00B238DE">
        <w:rPr>
          <w:rFonts w:asciiTheme="majorBidi" w:hAnsiTheme="majorBidi" w:cstheme="majorBidi"/>
          <w:i/>
          <w:iCs/>
        </w:rPr>
        <w:t xml:space="preserve"> </w:t>
      </w:r>
      <w:r w:rsidR="00B238DE">
        <w:rPr>
          <w:rFonts w:asciiTheme="majorBidi" w:hAnsiTheme="majorBidi" w:cstheme="majorBidi"/>
        </w:rPr>
        <w:t xml:space="preserve">para 15 </w:t>
      </w:r>
      <w:r w:rsidRPr="00A9790B">
        <w:rPr>
          <w:rFonts w:asciiTheme="majorBidi" w:hAnsiTheme="majorBidi" w:cstheme="majorBidi"/>
        </w:rPr>
        <w:t>at para</w:t>
      </w:r>
      <w:r>
        <w:rPr>
          <w:rFonts w:asciiTheme="majorBidi" w:hAnsiTheme="majorBidi" w:cstheme="majorBidi"/>
        </w:rPr>
        <w:t xml:space="preserve"> 33</w:t>
      </w:r>
      <w:r w:rsidRPr="00A9790B">
        <w:rPr>
          <w:rFonts w:asciiTheme="majorBidi" w:hAnsiTheme="majorBidi" w:cstheme="majorBidi"/>
        </w:rPr>
        <w:t>.</w:t>
      </w:r>
    </w:p>
    <w:p w14:paraId="4E16D842" w14:textId="5FDBA42F" w:rsidR="00F509AA" w:rsidRPr="00AC7583" w:rsidRDefault="005B5F3F" w:rsidP="00AC7583">
      <w:pPr>
        <w:pStyle w:val="ListParagraph"/>
        <w:numPr>
          <w:ilvl w:val="0"/>
          <w:numId w:val="1"/>
        </w:numPr>
        <w:spacing w:line="480" w:lineRule="auto"/>
        <w:ind w:left="0" w:firstLine="0"/>
        <w:jc w:val="both"/>
        <w:rPr>
          <w:rFonts w:asciiTheme="majorBidi" w:hAnsiTheme="majorBidi" w:cstheme="majorBidi"/>
          <w:i/>
          <w:iCs/>
        </w:rPr>
      </w:pPr>
      <w:r>
        <w:rPr>
          <w:lang w:eastAsia="en-US"/>
        </w:rPr>
        <w:t>Th</w:t>
      </w:r>
      <w:r w:rsidR="000A2CCD">
        <w:rPr>
          <w:lang w:eastAsia="en-US"/>
        </w:rPr>
        <w:t xml:space="preserve">e </w:t>
      </w:r>
      <w:r w:rsidR="000A2CCD" w:rsidRPr="00F509AA">
        <w:rPr>
          <w:lang w:eastAsia="en-US"/>
        </w:rPr>
        <w:t>presumption</w:t>
      </w:r>
      <w:r w:rsidR="000A2CCD">
        <w:rPr>
          <w:lang w:eastAsia="en-US"/>
        </w:rPr>
        <w:t xml:space="preserve"> </w:t>
      </w:r>
      <w:r>
        <w:rPr>
          <w:lang w:eastAsia="en-US"/>
        </w:rPr>
        <w:t xml:space="preserve">ensures that the application of </w:t>
      </w:r>
      <w:r w:rsidR="000A2CCD">
        <w:rPr>
          <w:lang w:eastAsia="en-US"/>
        </w:rPr>
        <w:t>s</w:t>
      </w:r>
      <w:r w:rsidR="00BF7C56">
        <w:rPr>
          <w:lang w:eastAsia="en-US"/>
        </w:rPr>
        <w:t>.</w:t>
      </w:r>
      <w:r w:rsidR="000A2CCD">
        <w:rPr>
          <w:lang w:eastAsia="en-US"/>
        </w:rPr>
        <w:t xml:space="preserve"> </w:t>
      </w:r>
      <w:r>
        <w:rPr>
          <w:lang w:eastAsia="en-US"/>
        </w:rPr>
        <w:t xml:space="preserve">34(1)(b) does not </w:t>
      </w:r>
      <w:r w:rsidR="00E56632">
        <w:rPr>
          <w:lang w:eastAsia="en-US"/>
        </w:rPr>
        <w:t>run contrary to the other obj</w:t>
      </w:r>
      <w:r w:rsidR="00504701">
        <w:rPr>
          <w:lang w:eastAsia="en-US"/>
        </w:rPr>
        <w:t>e</w:t>
      </w:r>
      <w:r w:rsidR="00E56632">
        <w:rPr>
          <w:lang w:eastAsia="en-US"/>
        </w:rPr>
        <w:t xml:space="preserve">ctives of the </w:t>
      </w:r>
      <w:r w:rsidR="00E56632" w:rsidRPr="002373DC">
        <w:rPr>
          <w:i/>
          <w:iCs/>
          <w:lang w:eastAsia="en-US"/>
        </w:rPr>
        <w:t>IRPA</w:t>
      </w:r>
      <w:r w:rsidR="00AC7583">
        <w:rPr>
          <w:lang w:eastAsia="en-US"/>
        </w:rPr>
        <w:t>, as set out in s. 3(1)</w:t>
      </w:r>
      <w:r w:rsidR="00E56632">
        <w:rPr>
          <w:lang w:eastAsia="en-US"/>
        </w:rPr>
        <w:t xml:space="preserve">. The broad </w:t>
      </w:r>
      <w:r w:rsidR="00CC7200">
        <w:rPr>
          <w:lang w:eastAsia="en-US"/>
        </w:rPr>
        <w:t xml:space="preserve">and </w:t>
      </w:r>
      <w:r w:rsidR="00E56632">
        <w:rPr>
          <w:lang w:eastAsia="en-US"/>
        </w:rPr>
        <w:t xml:space="preserve">unrestricted interpretation, on the other hand, runs contrary to Parliamentary intent by prioritizing security at the expense of </w:t>
      </w:r>
      <w:r w:rsidR="000A2CCD">
        <w:rPr>
          <w:lang w:eastAsia="en-US"/>
        </w:rPr>
        <w:t xml:space="preserve">all </w:t>
      </w:r>
      <w:r w:rsidR="00E56632">
        <w:rPr>
          <w:lang w:eastAsia="en-US"/>
        </w:rPr>
        <w:t>the other ob</w:t>
      </w:r>
      <w:r w:rsidR="000A2CCD">
        <w:rPr>
          <w:lang w:eastAsia="en-US"/>
        </w:rPr>
        <w:t>je</w:t>
      </w:r>
      <w:r w:rsidR="00E56632">
        <w:rPr>
          <w:lang w:eastAsia="en-US"/>
        </w:rPr>
        <w:t xml:space="preserve">ctives of the </w:t>
      </w:r>
      <w:r w:rsidR="00CC7200" w:rsidRPr="002373DC">
        <w:rPr>
          <w:i/>
          <w:iCs/>
          <w:lang w:eastAsia="en-US"/>
        </w:rPr>
        <w:t>IRPA</w:t>
      </w:r>
      <w:r w:rsidR="000A2CCD">
        <w:rPr>
          <w:lang w:eastAsia="en-US"/>
        </w:rPr>
        <w:t>, such as</w:t>
      </w:r>
      <w:r w:rsidR="00E56632">
        <w:rPr>
          <w:lang w:eastAsia="en-US"/>
        </w:rPr>
        <w:t xml:space="preserve"> </w:t>
      </w:r>
      <w:r w:rsidR="002D6726">
        <w:rPr>
          <w:lang w:eastAsia="en-US"/>
        </w:rPr>
        <w:t>promoting</w:t>
      </w:r>
      <w:r w:rsidR="00D447AC" w:rsidRPr="00D447AC">
        <w:rPr>
          <w:lang w:eastAsia="en-US"/>
        </w:rPr>
        <w:t xml:space="preserve"> immigration and protecting refugees</w:t>
      </w:r>
      <w:r w:rsidR="00AE3BC3">
        <w:rPr>
          <w:lang w:eastAsia="en-US"/>
        </w:rPr>
        <w:t xml:space="preserve">, as well as its compliance with </w:t>
      </w:r>
      <w:r w:rsidR="00AE3BC3" w:rsidRPr="00AE3BC3">
        <w:rPr>
          <w:i/>
          <w:iCs/>
          <w:lang w:eastAsia="en-US"/>
        </w:rPr>
        <w:t>Charter</w:t>
      </w:r>
      <w:r w:rsidR="00AE3BC3">
        <w:rPr>
          <w:lang w:eastAsia="en-US"/>
        </w:rPr>
        <w:t xml:space="preserve"> values</w:t>
      </w:r>
      <w:r w:rsidR="00D447AC">
        <w:rPr>
          <w:lang w:eastAsia="en-US"/>
        </w:rPr>
        <w:t xml:space="preserve">. </w:t>
      </w:r>
    </w:p>
    <w:p w14:paraId="2F777444" w14:textId="219241B7" w:rsidR="00893BE7" w:rsidRPr="003E72FD" w:rsidRDefault="009C25A0" w:rsidP="00893BE7">
      <w:pPr>
        <w:pStyle w:val="ListParagraph"/>
        <w:numPr>
          <w:ilvl w:val="0"/>
          <w:numId w:val="1"/>
        </w:numPr>
        <w:spacing w:line="480" w:lineRule="auto"/>
        <w:ind w:left="0" w:firstLine="0"/>
        <w:jc w:val="both"/>
      </w:pPr>
      <w:r w:rsidRPr="003E72FD">
        <w:rPr>
          <w:lang w:eastAsia="en-US"/>
        </w:rPr>
        <w:t xml:space="preserve">The </w:t>
      </w:r>
      <w:r w:rsidRPr="00F509AA">
        <w:rPr>
          <w:lang w:eastAsia="en-US"/>
        </w:rPr>
        <w:t xml:space="preserve">presumption </w:t>
      </w:r>
      <w:r w:rsidR="00326DCB" w:rsidRPr="003E72FD">
        <w:rPr>
          <w:lang w:eastAsia="en-US"/>
        </w:rPr>
        <w:t xml:space="preserve">also </w:t>
      </w:r>
      <w:r w:rsidR="00A715B5" w:rsidRPr="003E72FD">
        <w:rPr>
          <w:lang w:eastAsia="en-US"/>
        </w:rPr>
        <w:t>upholds Canada’s obligation</w:t>
      </w:r>
      <w:r w:rsidR="00326DCB" w:rsidRPr="003E72FD">
        <w:rPr>
          <w:lang w:eastAsia="en-US"/>
        </w:rPr>
        <w:t>s</w:t>
      </w:r>
      <w:r w:rsidR="00A715B5" w:rsidRPr="003E72FD">
        <w:rPr>
          <w:lang w:eastAsia="en-US"/>
        </w:rPr>
        <w:t xml:space="preserve"> under international law. </w:t>
      </w:r>
      <w:r w:rsidR="00893BE7" w:rsidRPr="003E72FD">
        <w:rPr>
          <w:lang w:eastAsia="en-US"/>
        </w:rPr>
        <w:t xml:space="preserve">If interpreted broadly </w:t>
      </w:r>
      <w:r w:rsidR="00326DCB" w:rsidRPr="003E72FD">
        <w:rPr>
          <w:lang w:eastAsia="en-US"/>
        </w:rPr>
        <w:t xml:space="preserve">such that political protests </w:t>
      </w:r>
      <w:r w:rsidR="00504701">
        <w:rPr>
          <w:lang w:eastAsia="en-US"/>
        </w:rPr>
        <w:t xml:space="preserve">that on occasion devolve into violence </w:t>
      </w:r>
      <w:r w:rsidR="00326DCB" w:rsidRPr="003E72FD">
        <w:rPr>
          <w:lang w:eastAsia="en-US"/>
        </w:rPr>
        <w:t xml:space="preserve">are considered </w:t>
      </w:r>
      <w:r w:rsidR="00893BE7" w:rsidRPr="003E72FD">
        <w:rPr>
          <w:lang w:eastAsia="en-US"/>
        </w:rPr>
        <w:t xml:space="preserve">to </w:t>
      </w:r>
      <w:r w:rsidR="00326DCB" w:rsidRPr="003E72FD">
        <w:rPr>
          <w:lang w:eastAsia="en-US"/>
        </w:rPr>
        <w:t>constitute</w:t>
      </w:r>
      <w:r w:rsidR="00893BE7" w:rsidRPr="003E72FD">
        <w:rPr>
          <w:lang w:eastAsia="en-US"/>
        </w:rPr>
        <w:t xml:space="preserve"> subversion</w:t>
      </w:r>
      <w:r w:rsidR="00326DCB" w:rsidRPr="003E72FD">
        <w:rPr>
          <w:lang w:eastAsia="en-US"/>
        </w:rPr>
        <w:t xml:space="preserve"> by force</w:t>
      </w:r>
      <w:r w:rsidR="00893BE7" w:rsidRPr="003E72FD">
        <w:rPr>
          <w:lang w:eastAsia="en-US"/>
        </w:rPr>
        <w:t xml:space="preserve">, s. 34(1)(b) would </w:t>
      </w:r>
      <w:r w:rsidR="00142B5C" w:rsidRPr="003E72FD">
        <w:rPr>
          <w:lang w:eastAsia="en-US"/>
        </w:rPr>
        <w:t>negatively impact the ability of impacted indiv</w:t>
      </w:r>
      <w:r w:rsidR="00504701">
        <w:rPr>
          <w:lang w:eastAsia="en-US"/>
        </w:rPr>
        <w:t>i</w:t>
      </w:r>
      <w:r w:rsidR="00142B5C" w:rsidRPr="003E72FD">
        <w:rPr>
          <w:lang w:eastAsia="en-US"/>
        </w:rPr>
        <w:t xml:space="preserve">duals to exercise freedom of political opinion and their right to participate freely in political processes. </w:t>
      </w:r>
    </w:p>
    <w:p w14:paraId="5F075CB9" w14:textId="6EA0BA14" w:rsidR="00A715B5" w:rsidRPr="003E72FD" w:rsidRDefault="00A715B5" w:rsidP="00893BE7">
      <w:pPr>
        <w:pStyle w:val="ListParagraph"/>
        <w:numPr>
          <w:ilvl w:val="0"/>
          <w:numId w:val="1"/>
        </w:numPr>
        <w:spacing w:line="480" w:lineRule="auto"/>
        <w:ind w:left="0" w:firstLine="0"/>
        <w:jc w:val="both"/>
      </w:pPr>
      <w:r w:rsidRPr="003E72FD">
        <w:rPr>
          <w:lang w:eastAsia="en-US"/>
        </w:rPr>
        <w:t>Canada is a</w:t>
      </w:r>
      <w:r w:rsidR="00142B5C" w:rsidRPr="003E72FD">
        <w:rPr>
          <w:lang w:eastAsia="en-US"/>
        </w:rPr>
        <w:t xml:space="preserve"> s</w:t>
      </w:r>
      <w:r w:rsidRPr="003E72FD">
        <w:rPr>
          <w:lang w:eastAsia="en-US"/>
        </w:rPr>
        <w:t xml:space="preserve">tate signatory to the International Covenent on Civil and Political Rights (the </w:t>
      </w:r>
      <w:r w:rsidRPr="003E72FD">
        <w:rPr>
          <w:i/>
          <w:iCs/>
          <w:lang w:eastAsia="en-US"/>
        </w:rPr>
        <w:t>ICCPR</w:t>
      </w:r>
      <w:r w:rsidRPr="003E72FD">
        <w:rPr>
          <w:lang w:eastAsia="en-US"/>
        </w:rPr>
        <w:t xml:space="preserve">). Article </w:t>
      </w:r>
      <w:r w:rsidR="00142B5C" w:rsidRPr="003E72FD">
        <w:rPr>
          <w:lang w:eastAsia="en-US"/>
        </w:rPr>
        <w:t xml:space="preserve">25 of the </w:t>
      </w:r>
      <w:r w:rsidR="00142B5C" w:rsidRPr="003E72FD">
        <w:rPr>
          <w:i/>
          <w:iCs/>
          <w:lang w:eastAsia="en-US"/>
        </w:rPr>
        <w:t>ICCPR</w:t>
      </w:r>
      <w:r w:rsidR="00142B5C" w:rsidRPr="003E72FD">
        <w:rPr>
          <w:lang w:eastAsia="en-US"/>
        </w:rPr>
        <w:t xml:space="preserve"> provides for the </w:t>
      </w:r>
      <w:r w:rsidR="00504701">
        <w:rPr>
          <w:lang w:eastAsia="en-US"/>
        </w:rPr>
        <w:t>right</w:t>
      </w:r>
      <w:r w:rsidR="00504701" w:rsidRPr="003E72FD">
        <w:rPr>
          <w:lang w:eastAsia="en-US"/>
        </w:rPr>
        <w:t xml:space="preserve"> </w:t>
      </w:r>
      <w:r w:rsidR="00142B5C" w:rsidRPr="003E72FD">
        <w:rPr>
          <w:lang w:eastAsia="en-US"/>
        </w:rPr>
        <w:t xml:space="preserve">of every individual to vote, and to “take part in the conduct of public affairs”. Article 26 </w:t>
      </w:r>
      <w:r w:rsidRPr="003E72FD">
        <w:rPr>
          <w:lang w:eastAsia="en-US"/>
        </w:rPr>
        <w:t>provides</w:t>
      </w:r>
      <w:r w:rsidR="00142B5C" w:rsidRPr="003E72FD">
        <w:rPr>
          <w:lang w:eastAsia="en-US"/>
        </w:rPr>
        <w:t xml:space="preserve"> for the protection of political opinion. By criminalizing legitimate protests or strikes, the overbroad interpretation of s. 34(1)(b) runs contrary to Canada’s obligations under the </w:t>
      </w:r>
      <w:r w:rsidR="00142B5C" w:rsidRPr="003E72FD">
        <w:rPr>
          <w:i/>
          <w:iCs/>
          <w:lang w:eastAsia="en-US"/>
        </w:rPr>
        <w:t>ICCPR</w:t>
      </w:r>
      <w:r w:rsidR="00142B5C" w:rsidRPr="003E72FD">
        <w:rPr>
          <w:lang w:eastAsia="en-US"/>
        </w:rPr>
        <w:t xml:space="preserve">.  </w:t>
      </w:r>
    </w:p>
    <w:p w14:paraId="22CDF463" w14:textId="01746558" w:rsidR="00893BE7" w:rsidRDefault="00B238DE" w:rsidP="00893BE7">
      <w:pPr>
        <w:pStyle w:val="ListParagraph"/>
        <w:jc w:val="both"/>
        <w:rPr>
          <w:rFonts w:asciiTheme="majorBidi" w:hAnsiTheme="majorBidi" w:cstheme="majorBidi"/>
          <w:i/>
          <w:iCs/>
        </w:rPr>
      </w:pPr>
      <w:bookmarkStart w:id="0" w:name="_Toc481083389"/>
      <w:bookmarkStart w:id="1" w:name="_Toc70388988"/>
      <w:bookmarkStart w:id="2" w:name="_Toc70516965"/>
      <w:bookmarkStart w:id="3" w:name="_Toc200433614"/>
      <w:bookmarkStart w:id="4" w:name="_Toc200441499"/>
      <w:bookmarkStart w:id="5" w:name="_Toc200785378"/>
      <w:r w:rsidRPr="00B238DE">
        <w:rPr>
          <w:i/>
          <w:iCs/>
          <w:lang w:eastAsia="en-US"/>
        </w:rPr>
        <w:t>International Covenant on Civil and Political Rights</w:t>
      </w:r>
      <w:r w:rsidRPr="00B238DE">
        <w:rPr>
          <w:lang w:eastAsia="en-US"/>
        </w:rPr>
        <w:t>, 19 December 1966, 999 UNTS 171, Can TS 1976 No 47</w:t>
      </w:r>
      <w:r w:rsidR="00C75D41">
        <w:rPr>
          <w:lang w:eastAsia="en-US"/>
        </w:rPr>
        <w:t xml:space="preserve"> arts 25, 26</w:t>
      </w:r>
      <w:r w:rsidRPr="00B238DE">
        <w:rPr>
          <w:lang w:eastAsia="en-US"/>
        </w:rPr>
        <w:t xml:space="preserve"> (entered into force 23 March 1976) [</w:t>
      </w:r>
      <w:r w:rsidRPr="00B238DE">
        <w:rPr>
          <w:i/>
          <w:iCs/>
          <w:lang w:eastAsia="en-US"/>
        </w:rPr>
        <w:t>ICCPR</w:t>
      </w:r>
      <w:r w:rsidRPr="00B238DE">
        <w:rPr>
          <w:lang w:eastAsia="en-US"/>
        </w:rPr>
        <w:t>].</w:t>
      </w:r>
    </w:p>
    <w:bookmarkEnd w:id="0"/>
    <w:bookmarkEnd w:id="1"/>
    <w:bookmarkEnd w:id="2"/>
    <w:bookmarkEnd w:id="3"/>
    <w:bookmarkEnd w:id="4"/>
    <w:bookmarkEnd w:id="5"/>
    <w:p w14:paraId="295677D3" w14:textId="77777777" w:rsidR="00893BE7" w:rsidRPr="002373DC" w:rsidRDefault="00893BE7" w:rsidP="002373DC">
      <w:pPr>
        <w:pStyle w:val="ListParagraph"/>
        <w:jc w:val="both"/>
        <w:rPr>
          <w:rFonts w:asciiTheme="majorBidi" w:hAnsiTheme="majorBidi" w:cstheme="majorBidi"/>
        </w:rPr>
      </w:pPr>
    </w:p>
    <w:p w14:paraId="65C97834" w14:textId="270F7F56" w:rsidR="006C7E75" w:rsidRPr="002729CA" w:rsidRDefault="00504701" w:rsidP="009C25A0">
      <w:pPr>
        <w:pStyle w:val="ListParagraph"/>
        <w:numPr>
          <w:ilvl w:val="0"/>
          <w:numId w:val="1"/>
        </w:numPr>
        <w:spacing w:line="480" w:lineRule="auto"/>
        <w:ind w:left="0" w:firstLine="0"/>
        <w:jc w:val="both"/>
        <w:rPr>
          <w:lang w:eastAsia="en-US"/>
        </w:rPr>
      </w:pPr>
      <w:r>
        <w:rPr>
          <w:lang w:eastAsia="en-US"/>
        </w:rPr>
        <w:t>In sum, t</w:t>
      </w:r>
      <w:r w:rsidR="00E047B0">
        <w:rPr>
          <w:lang w:eastAsia="en-US"/>
        </w:rPr>
        <w:t>he</w:t>
      </w:r>
      <w:r w:rsidR="004838AC">
        <w:rPr>
          <w:lang w:eastAsia="en-US"/>
        </w:rPr>
        <w:t xml:space="preserve"> </w:t>
      </w:r>
      <w:r w:rsidR="004838AC" w:rsidRPr="00F509AA">
        <w:rPr>
          <w:lang w:eastAsia="en-US"/>
        </w:rPr>
        <w:t>presumption</w:t>
      </w:r>
      <w:r w:rsidR="005C628A">
        <w:rPr>
          <w:lang w:eastAsia="en-US"/>
        </w:rPr>
        <w:t xml:space="preserve"> </w:t>
      </w:r>
      <w:r w:rsidR="00D447AC">
        <w:rPr>
          <w:lang w:eastAsia="en-US"/>
        </w:rPr>
        <w:t>enhances the provision’s conformity with</w:t>
      </w:r>
      <w:r w:rsidR="004838AC">
        <w:rPr>
          <w:lang w:eastAsia="en-US"/>
        </w:rPr>
        <w:t xml:space="preserve"> the overall objectives of the </w:t>
      </w:r>
      <w:r w:rsidR="004838AC" w:rsidRPr="00AC7583">
        <w:rPr>
          <w:i/>
          <w:iCs/>
          <w:lang w:eastAsia="en-US"/>
        </w:rPr>
        <w:t>IRPA</w:t>
      </w:r>
      <w:r w:rsidR="004838AC">
        <w:rPr>
          <w:lang w:eastAsia="en-US"/>
        </w:rPr>
        <w:t>, including the government’s ability to control its border for security purposes, as well as with</w:t>
      </w:r>
      <w:r w:rsidR="00D447AC">
        <w:rPr>
          <w:lang w:eastAsia="en-US"/>
        </w:rPr>
        <w:t xml:space="preserve"> </w:t>
      </w:r>
      <w:r w:rsidR="004838AC">
        <w:rPr>
          <w:i/>
          <w:iCs/>
          <w:lang w:eastAsia="en-US"/>
        </w:rPr>
        <w:t xml:space="preserve">Charter </w:t>
      </w:r>
      <w:r w:rsidR="00D447AC">
        <w:rPr>
          <w:lang w:eastAsia="en-US"/>
        </w:rPr>
        <w:t>values.</w:t>
      </w:r>
      <w:r w:rsidR="004838AC">
        <w:rPr>
          <w:lang w:eastAsia="en-US"/>
        </w:rPr>
        <w:t xml:space="preserve"> </w:t>
      </w:r>
      <w:r w:rsidR="009C25A0">
        <w:rPr>
          <w:lang w:eastAsia="en-US"/>
        </w:rPr>
        <w:t xml:space="preserve">It upholds Canada’s obligation under international law. </w:t>
      </w:r>
      <w:r w:rsidR="00D447AC">
        <w:rPr>
          <w:lang w:eastAsia="en-US"/>
        </w:rPr>
        <w:t>It invites a decision maker to take into consideration all the relevant facts and circumstances, and make a fair and balanced decision, instead of adopting a blanket application of the provision, which could lead to absurd results that were never intended by Parliament.</w:t>
      </w:r>
    </w:p>
    <w:p w14:paraId="49E5D330" w14:textId="35787EE6" w:rsidR="00D1294A" w:rsidRDefault="001F0AC6" w:rsidP="00F76B5F">
      <w:pPr>
        <w:pStyle w:val="ListParagraph"/>
        <w:numPr>
          <w:ilvl w:val="3"/>
          <w:numId w:val="24"/>
        </w:numPr>
        <w:ind w:left="1134" w:hanging="141"/>
        <w:rPr>
          <w:b/>
          <w:bCs/>
          <w:i/>
          <w:iCs/>
        </w:rPr>
      </w:pPr>
      <w:r>
        <w:rPr>
          <w:b/>
          <w:bCs/>
          <w:i/>
          <w:iCs/>
        </w:rPr>
        <w:t>Ministerial</w:t>
      </w:r>
      <w:r w:rsidR="004C272F">
        <w:rPr>
          <w:b/>
          <w:bCs/>
          <w:i/>
          <w:iCs/>
        </w:rPr>
        <w:t xml:space="preserve"> r</w:t>
      </w:r>
      <w:r>
        <w:rPr>
          <w:b/>
          <w:bCs/>
          <w:i/>
          <w:iCs/>
        </w:rPr>
        <w:t>elief does not preclude th</w:t>
      </w:r>
      <w:r w:rsidR="00F509AA">
        <w:rPr>
          <w:b/>
          <w:bCs/>
          <w:i/>
          <w:iCs/>
        </w:rPr>
        <w:t>is</w:t>
      </w:r>
      <w:r>
        <w:rPr>
          <w:b/>
          <w:bCs/>
          <w:i/>
          <w:iCs/>
        </w:rPr>
        <w:t xml:space="preserve"> Court from adopting the</w:t>
      </w:r>
      <w:r w:rsidR="004C272F">
        <w:rPr>
          <w:b/>
          <w:bCs/>
          <w:i/>
          <w:iCs/>
        </w:rPr>
        <w:t xml:space="preserve"> </w:t>
      </w:r>
      <w:r w:rsidR="00F509AA">
        <w:rPr>
          <w:b/>
          <w:bCs/>
          <w:i/>
          <w:iCs/>
        </w:rPr>
        <w:t>Federal Court’s interpretation of s. 34(1)(b)</w:t>
      </w:r>
      <w:r w:rsidR="004838AC">
        <w:rPr>
          <w:b/>
          <w:bCs/>
          <w:i/>
          <w:iCs/>
        </w:rPr>
        <w:t xml:space="preserve"> </w:t>
      </w:r>
    </w:p>
    <w:p w14:paraId="6AA90483" w14:textId="77777777" w:rsidR="00F76B5F" w:rsidRPr="001F0AC6" w:rsidRDefault="00F76B5F" w:rsidP="00F76B5F">
      <w:pPr>
        <w:pStyle w:val="ListParagraph"/>
        <w:ind w:left="1134"/>
        <w:rPr>
          <w:b/>
          <w:bCs/>
          <w:i/>
          <w:iCs/>
        </w:rPr>
      </w:pPr>
    </w:p>
    <w:p w14:paraId="2921BB3D" w14:textId="50A1916B" w:rsidR="00887C23" w:rsidRDefault="0047537A" w:rsidP="002729CA">
      <w:pPr>
        <w:pStyle w:val="ListParagraph"/>
        <w:numPr>
          <w:ilvl w:val="0"/>
          <w:numId w:val="1"/>
        </w:numPr>
        <w:spacing w:line="480" w:lineRule="auto"/>
        <w:ind w:left="0" w:firstLine="0"/>
        <w:jc w:val="both"/>
        <w:rPr>
          <w:lang w:eastAsia="en-US"/>
        </w:rPr>
      </w:pPr>
      <w:r>
        <w:rPr>
          <w:lang w:eastAsia="en-US"/>
        </w:rPr>
        <w:t xml:space="preserve">The </w:t>
      </w:r>
      <w:r w:rsidR="007152B4">
        <w:rPr>
          <w:lang w:eastAsia="en-US"/>
        </w:rPr>
        <w:t xml:space="preserve">availability of </w:t>
      </w:r>
      <w:r>
        <w:rPr>
          <w:lang w:eastAsia="en-US"/>
        </w:rPr>
        <w:t xml:space="preserve">ministerial relief </w:t>
      </w:r>
      <w:r w:rsidR="007152B4">
        <w:rPr>
          <w:lang w:eastAsia="en-US"/>
        </w:rPr>
        <w:t xml:space="preserve">does not </w:t>
      </w:r>
      <w:r w:rsidR="004838AC">
        <w:rPr>
          <w:lang w:eastAsia="en-US"/>
        </w:rPr>
        <w:t xml:space="preserve">save </w:t>
      </w:r>
      <w:r w:rsidR="004B659D">
        <w:rPr>
          <w:lang w:eastAsia="en-US"/>
        </w:rPr>
        <w:t xml:space="preserve">the </w:t>
      </w:r>
      <w:r w:rsidR="00D447AC">
        <w:rPr>
          <w:lang w:eastAsia="en-US"/>
        </w:rPr>
        <w:t xml:space="preserve">overly </w:t>
      </w:r>
      <w:r w:rsidR="004B659D">
        <w:rPr>
          <w:lang w:eastAsia="en-US"/>
        </w:rPr>
        <w:t>broad interpretation of s. 34(1)(b)</w:t>
      </w:r>
      <w:r w:rsidR="00887C23">
        <w:rPr>
          <w:lang w:eastAsia="en-US"/>
        </w:rPr>
        <w:t xml:space="preserve">. </w:t>
      </w:r>
      <w:r w:rsidR="004838AC">
        <w:rPr>
          <w:lang w:eastAsia="en-US"/>
        </w:rPr>
        <w:t>M</w:t>
      </w:r>
      <w:r w:rsidR="00887C23">
        <w:rPr>
          <w:lang w:eastAsia="en-US"/>
        </w:rPr>
        <w:t xml:space="preserve">inisterial relief is inadequate to address the </w:t>
      </w:r>
      <w:r w:rsidR="007152B4">
        <w:rPr>
          <w:lang w:eastAsia="en-US"/>
        </w:rPr>
        <w:t xml:space="preserve">detrimental consequences </w:t>
      </w:r>
      <w:r w:rsidR="004838AC">
        <w:rPr>
          <w:lang w:eastAsia="en-US"/>
        </w:rPr>
        <w:t>that</w:t>
      </w:r>
      <w:r w:rsidR="007152B4">
        <w:rPr>
          <w:lang w:eastAsia="en-US"/>
        </w:rPr>
        <w:t xml:space="preserve"> result </w:t>
      </w:r>
      <w:r w:rsidR="004838AC">
        <w:rPr>
          <w:lang w:eastAsia="en-US"/>
        </w:rPr>
        <w:t>from</w:t>
      </w:r>
      <w:r w:rsidR="007152B4">
        <w:rPr>
          <w:lang w:eastAsia="en-US"/>
        </w:rPr>
        <w:t xml:space="preserve"> the </w:t>
      </w:r>
      <w:r w:rsidR="00887C23">
        <w:rPr>
          <w:lang w:eastAsia="en-US"/>
        </w:rPr>
        <w:t xml:space="preserve">overbroad interpretation. </w:t>
      </w:r>
    </w:p>
    <w:p w14:paraId="42A05DD3" w14:textId="7B3F7278" w:rsidR="00CA209A" w:rsidRDefault="00887C23" w:rsidP="00CA209A">
      <w:pPr>
        <w:pStyle w:val="ListParagraph"/>
        <w:numPr>
          <w:ilvl w:val="0"/>
          <w:numId w:val="1"/>
        </w:numPr>
        <w:spacing w:line="480" w:lineRule="auto"/>
        <w:ind w:left="0" w:firstLine="0"/>
        <w:jc w:val="both"/>
        <w:rPr>
          <w:lang w:eastAsia="en-US"/>
        </w:rPr>
      </w:pPr>
      <w:r>
        <w:rPr>
          <w:color w:val="222222"/>
        </w:rPr>
        <w:t xml:space="preserve">Pursuant to </w:t>
      </w:r>
      <w:r w:rsidRPr="00D84AAE">
        <w:rPr>
          <w:color w:val="222222"/>
        </w:rPr>
        <w:t>s</w:t>
      </w:r>
      <w:r w:rsidR="00CA209A">
        <w:rPr>
          <w:color w:val="222222"/>
        </w:rPr>
        <w:t>.</w:t>
      </w:r>
      <w:r w:rsidRPr="00D84AAE">
        <w:rPr>
          <w:color w:val="222222"/>
        </w:rPr>
        <w:t xml:space="preserve"> 42.1(2)</w:t>
      </w:r>
      <w:r w:rsidR="00163D38">
        <w:rPr>
          <w:color w:val="222222"/>
        </w:rPr>
        <w:t xml:space="preserve"> of the </w:t>
      </w:r>
      <w:r w:rsidR="00163D38" w:rsidRPr="00275E65">
        <w:rPr>
          <w:i/>
          <w:iCs/>
          <w:color w:val="222222"/>
        </w:rPr>
        <w:t>IRPA</w:t>
      </w:r>
      <w:r>
        <w:rPr>
          <w:color w:val="222222"/>
        </w:rPr>
        <w:t xml:space="preserve">, </w:t>
      </w:r>
      <w:r w:rsidR="00D84AAE">
        <w:rPr>
          <w:lang w:eastAsia="en-US"/>
        </w:rPr>
        <w:t xml:space="preserve">when an individual is caught by s. 34(1), </w:t>
      </w:r>
      <w:r>
        <w:rPr>
          <w:lang w:eastAsia="en-US"/>
        </w:rPr>
        <w:t xml:space="preserve">they may make </w:t>
      </w:r>
      <w:r w:rsidR="00B00D0E">
        <w:rPr>
          <w:lang w:eastAsia="en-US"/>
        </w:rPr>
        <w:t xml:space="preserve">an application </w:t>
      </w:r>
      <w:r>
        <w:rPr>
          <w:lang w:eastAsia="en-US"/>
        </w:rPr>
        <w:t xml:space="preserve">for </w:t>
      </w:r>
      <w:r w:rsidR="00B00D0E">
        <w:rPr>
          <w:color w:val="222222"/>
        </w:rPr>
        <w:t>m</w:t>
      </w:r>
      <w:r w:rsidR="00D84AAE">
        <w:rPr>
          <w:color w:val="222222"/>
        </w:rPr>
        <w:t xml:space="preserve">inisterial </w:t>
      </w:r>
      <w:r w:rsidR="00B00D0E">
        <w:rPr>
          <w:color w:val="222222"/>
        </w:rPr>
        <w:t>r</w:t>
      </w:r>
      <w:r w:rsidR="0082256D">
        <w:rPr>
          <w:color w:val="222222"/>
        </w:rPr>
        <w:t>elief</w:t>
      </w:r>
      <w:r>
        <w:rPr>
          <w:color w:val="222222"/>
        </w:rPr>
        <w:t xml:space="preserve">. </w:t>
      </w:r>
      <w:r w:rsidRPr="00F12612">
        <w:rPr>
          <w:color w:val="222222"/>
        </w:rPr>
        <w:t>Ministerial relief</w:t>
      </w:r>
      <w:r w:rsidR="00D84AAE" w:rsidRPr="00F12612">
        <w:rPr>
          <w:color w:val="222222"/>
        </w:rPr>
        <w:t xml:space="preserve"> </w:t>
      </w:r>
      <w:r w:rsidR="007C1520" w:rsidRPr="00F12612">
        <w:rPr>
          <w:color w:val="222222"/>
        </w:rPr>
        <w:t>is</w:t>
      </w:r>
      <w:r w:rsidR="00D84AAE" w:rsidRPr="00F12612">
        <w:rPr>
          <w:color w:val="222222"/>
        </w:rPr>
        <w:t xml:space="preserve"> available </w:t>
      </w:r>
      <w:r w:rsidRPr="00F12612">
        <w:rPr>
          <w:color w:val="222222"/>
        </w:rPr>
        <w:t>for those individuals who can demonstrate that they merit relief based on a series of considerations.</w:t>
      </w:r>
      <w:r w:rsidR="00CA209A" w:rsidRPr="00F12612">
        <w:rPr>
          <w:lang w:eastAsia="en-US"/>
        </w:rPr>
        <w:t xml:space="preserve"> The inaccessibility of </w:t>
      </w:r>
      <w:r w:rsidR="00C20C00">
        <w:rPr>
          <w:lang w:eastAsia="en-US"/>
        </w:rPr>
        <w:t>m</w:t>
      </w:r>
      <w:r w:rsidR="00FB1DB5" w:rsidRPr="00F12612">
        <w:rPr>
          <w:lang w:eastAsia="en-US"/>
        </w:rPr>
        <w:t>inisterial relief</w:t>
      </w:r>
      <w:r w:rsidR="00CA209A" w:rsidRPr="00F12612">
        <w:rPr>
          <w:lang w:eastAsia="en-US"/>
        </w:rPr>
        <w:t>, however,</w:t>
      </w:r>
      <w:r w:rsidR="00FB1DB5" w:rsidRPr="00F12612">
        <w:rPr>
          <w:lang w:eastAsia="en-US"/>
        </w:rPr>
        <w:t xml:space="preserve"> </w:t>
      </w:r>
      <w:r w:rsidR="00CA209A" w:rsidRPr="00F12612">
        <w:rPr>
          <w:lang w:eastAsia="en-US"/>
        </w:rPr>
        <w:t>renders it incapable of</w:t>
      </w:r>
      <w:r w:rsidR="00FB1DB5" w:rsidRPr="00F12612">
        <w:rPr>
          <w:lang w:eastAsia="en-US"/>
        </w:rPr>
        <w:t xml:space="preserve"> cur</w:t>
      </w:r>
      <w:r w:rsidR="00CA209A" w:rsidRPr="00F12612">
        <w:rPr>
          <w:lang w:eastAsia="en-US"/>
        </w:rPr>
        <w:t>ing</w:t>
      </w:r>
      <w:r w:rsidR="00FB1DB5" w:rsidRPr="00F12612">
        <w:rPr>
          <w:lang w:eastAsia="en-US"/>
        </w:rPr>
        <w:t xml:space="preserve"> the harms that arise from </w:t>
      </w:r>
      <w:r w:rsidR="004838AC" w:rsidRPr="00F12612">
        <w:rPr>
          <w:lang w:eastAsia="en-US"/>
        </w:rPr>
        <w:t xml:space="preserve">a </w:t>
      </w:r>
      <w:r w:rsidR="00FB1DB5" w:rsidRPr="00F12612">
        <w:rPr>
          <w:lang w:eastAsia="en-US"/>
        </w:rPr>
        <w:t xml:space="preserve">finding of inadmissibility. </w:t>
      </w:r>
    </w:p>
    <w:p w14:paraId="5CF5E66F" w14:textId="35C6562B" w:rsidR="00CA209A" w:rsidRDefault="00CA209A" w:rsidP="00CA209A">
      <w:pPr>
        <w:pStyle w:val="ListParagraph"/>
        <w:numPr>
          <w:ilvl w:val="0"/>
          <w:numId w:val="1"/>
        </w:numPr>
        <w:spacing w:before="240" w:after="240" w:line="480" w:lineRule="auto"/>
        <w:ind w:left="0" w:firstLine="0"/>
        <w:jc w:val="both"/>
      </w:pPr>
      <w:r>
        <w:t xml:space="preserve">First, the </w:t>
      </w:r>
      <w:r w:rsidR="00C20C00">
        <w:t>m</w:t>
      </w:r>
      <w:r>
        <w:t xml:space="preserve">inisterial relief provision has been criticized as “illusory.” Because the authority to grant </w:t>
      </w:r>
      <w:r w:rsidR="00C20C00">
        <w:t>m</w:t>
      </w:r>
      <w:r>
        <w:t xml:space="preserve">inisterial relief is non-delegable, a busy member of Cabinet is required to assess complicated immigration files on a case-by-case basis. Sitting politicians have little incentive to grant discretionary relief and possibily face criticism for being soft on subversives. </w:t>
      </w:r>
    </w:p>
    <w:p w14:paraId="60960C1C" w14:textId="2652F015" w:rsidR="00CA209A" w:rsidRDefault="00F41639" w:rsidP="00270F48">
      <w:pPr>
        <w:pStyle w:val="ListParagraph"/>
        <w:jc w:val="both"/>
        <w:rPr>
          <w:lang w:eastAsia="en-US"/>
        </w:rPr>
      </w:pPr>
      <w:r>
        <w:t xml:space="preserve">Jared Porter, </w:t>
      </w:r>
      <w:r w:rsidRPr="00F41639">
        <w:rPr>
          <w:i/>
          <w:iCs/>
        </w:rPr>
        <w:t>No Rebels Allowed: The Subversion Bar in Canada's Immigration Legislation</w:t>
      </w:r>
      <w:r w:rsidRPr="00F41639">
        <w:t>, (2018), 81 Sask L</w:t>
      </w:r>
      <w:r>
        <w:t xml:space="preserve"> </w:t>
      </w:r>
      <w:r w:rsidRPr="00F41639">
        <w:t>Rev 25-51</w:t>
      </w:r>
      <w:r>
        <w:t xml:space="preserve"> </w:t>
      </w:r>
      <w:r w:rsidR="002506B2">
        <w:t xml:space="preserve">at </w:t>
      </w:r>
      <w:r w:rsidR="00685417">
        <w:t>46</w:t>
      </w:r>
      <w:r w:rsidR="002506B2">
        <w:t>.</w:t>
      </w:r>
    </w:p>
    <w:p w14:paraId="775B7B90" w14:textId="77777777" w:rsidR="00CA209A" w:rsidRPr="00217AD9" w:rsidRDefault="00CA209A" w:rsidP="00CA209A">
      <w:pPr>
        <w:pStyle w:val="ListParagraph"/>
        <w:spacing w:before="240" w:after="240"/>
        <w:jc w:val="both"/>
      </w:pPr>
    </w:p>
    <w:p w14:paraId="0BA04B03" w14:textId="36AD5B30" w:rsidR="00CA209A" w:rsidRPr="00F97635" w:rsidRDefault="00CA209A" w:rsidP="00CA209A">
      <w:pPr>
        <w:pStyle w:val="ListParagraph"/>
        <w:numPr>
          <w:ilvl w:val="0"/>
          <w:numId w:val="1"/>
        </w:numPr>
        <w:spacing w:before="240" w:after="240" w:line="480" w:lineRule="auto"/>
        <w:ind w:left="0" w:firstLine="0"/>
        <w:jc w:val="both"/>
      </w:pPr>
      <w:r w:rsidRPr="00F97635">
        <w:t xml:space="preserve">Second, </w:t>
      </w:r>
      <w:r>
        <w:t xml:space="preserve">even if the </w:t>
      </w:r>
      <w:r>
        <w:rPr>
          <w:lang w:eastAsia="en-US"/>
        </w:rPr>
        <w:t>relief can be granted, it takes a significant amount of time to obtain</w:t>
      </w:r>
      <w:r w:rsidRPr="00F97635">
        <w:t xml:space="preserve">. </w:t>
      </w:r>
      <w:r>
        <w:rPr>
          <w:lang w:eastAsia="en-US"/>
        </w:rPr>
        <w:t xml:space="preserve">In </w:t>
      </w:r>
      <w:r w:rsidRPr="00964B30">
        <w:rPr>
          <w:i/>
          <w:iCs/>
          <w:lang w:eastAsia="en-US"/>
        </w:rPr>
        <w:t>Douze</w:t>
      </w:r>
      <w:r>
        <w:rPr>
          <w:lang w:eastAsia="en-US"/>
        </w:rPr>
        <w:t>, the applicant waited three years for a response to his request for ministerial relie</w:t>
      </w:r>
      <w:r>
        <w:t xml:space="preserve">f, and </w:t>
      </w:r>
      <w:r>
        <w:rPr>
          <w:rFonts w:hint="eastAsia"/>
        </w:rPr>
        <w:t>t</w:t>
      </w:r>
      <w:r>
        <w:rPr>
          <w:lang w:eastAsia="en-US"/>
        </w:rPr>
        <w:t xml:space="preserve">he delay was found to be unreasonable. </w:t>
      </w:r>
      <w:r w:rsidRPr="00F97635">
        <w:t xml:space="preserve">Affidavit evidence </w:t>
      </w:r>
      <w:r>
        <w:t xml:space="preserve">submitted by </w:t>
      </w:r>
      <w:r>
        <w:rPr>
          <w:lang w:eastAsia="en-US"/>
        </w:rPr>
        <w:t xml:space="preserve">a senior program officer with the CBSA Ministerial Relief Unit </w:t>
      </w:r>
      <w:r w:rsidRPr="00F97635">
        <w:t>indicates that ministerial relief requests generally take 5-10 years to process</w:t>
      </w:r>
      <w:r>
        <w:t>,</w:t>
      </w:r>
      <w:r w:rsidRPr="00F97635">
        <w:t xml:space="preserve"> because of </w:t>
      </w:r>
      <w:r>
        <w:t xml:space="preserve">the </w:t>
      </w:r>
      <w:r w:rsidRPr="00F97635">
        <w:t>complex</w:t>
      </w:r>
      <w:r>
        <w:t xml:space="preserve"> nature of the</w:t>
      </w:r>
      <w:r w:rsidRPr="00F97635">
        <w:t xml:space="preserve"> assessment and the Minister’s personal involvement. </w:t>
      </w:r>
    </w:p>
    <w:p w14:paraId="5571A2F8" w14:textId="5223C294" w:rsidR="00B25E4D" w:rsidRDefault="00B25E4D" w:rsidP="00B25E4D">
      <w:pPr>
        <w:pStyle w:val="ListParagraph"/>
        <w:rPr>
          <w:rFonts w:asciiTheme="majorBidi" w:hAnsiTheme="majorBidi" w:cstheme="majorBidi"/>
        </w:rPr>
      </w:pPr>
      <w:r w:rsidRPr="00964B30">
        <w:rPr>
          <w:rFonts w:asciiTheme="majorBidi" w:hAnsiTheme="majorBidi" w:cstheme="majorBidi"/>
          <w:i/>
          <w:iCs/>
        </w:rPr>
        <w:t>Douze v. Canada (Minister of Citizenship &amp; Immigration)</w:t>
      </w:r>
      <w:r w:rsidRPr="00964B30">
        <w:rPr>
          <w:rFonts w:asciiTheme="majorBidi" w:hAnsiTheme="majorBidi" w:cstheme="majorBidi"/>
        </w:rPr>
        <w:t>, 2010 FC 1337 at paras 9, 31-33</w:t>
      </w:r>
      <w:r>
        <w:rPr>
          <w:rFonts w:asciiTheme="majorBidi" w:hAnsiTheme="majorBidi" w:cstheme="majorBidi"/>
        </w:rPr>
        <w:t xml:space="preserve"> </w:t>
      </w:r>
      <w:r w:rsidRPr="00D42A51">
        <w:rPr>
          <w:rFonts w:asciiTheme="majorBidi" w:hAnsiTheme="majorBidi" w:cstheme="majorBidi"/>
        </w:rPr>
        <w:t>[</w:t>
      </w:r>
      <w:r w:rsidRPr="002729CA">
        <w:rPr>
          <w:rFonts w:asciiTheme="majorBidi" w:hAnsiTheme="majorBidi" w:cstheme="majorBidi"/>
          <w:i/>
          <w:iCs/>
        </w:rPr>
        <w:t>Douze</w:t>
      </w:r>
      <w:r w:rsidRPr="00D42A51">
        <w:rPr>
          <w:rFonts w:asciiTheme="majorBidi" w:hAnsiTheme="majorBidi" w:cstheme="majorBidi"/>
        </w:rPr>
        <w:t>].</w:t>
      </w:r>
    </w:p>
    <w:p w14:paraId="469C032A" w14:textId="77777777" w:rsidR="00B25E4D" w:rsidRDefault="00B25E4D" w:rsidP="00B25E4D">
      <w:pPr>
        <w:pStyle w:val="ListParagraph"/>
        <w:rPr>
          <w:lang w:eastAsia="en-US"/>
        </w:rPr>
      </w:pPr>
    </w:p>
    <w:p w14:paraId="14081459" w14:textId="552DF79E" w:rsidR="0057100E" w:rsidRPr="00964B30" w:rsidRDefault="00CA209A" w:rsidP="00B25E4D">
      <w:pPr>
        <w:pStyle w:val="ListParagraph"/>
        <w:numPr>
          <w:ilvl w:val="0"/>
          <w:numId w:val="1"/>
        </w:numPr>
        <w:spacing w:line="480" w:lineRule="auto"/>
        <w:ind w:left="0" w:firstLine="0"/>
        <w:jc w:val="both"/>
      </w:pPr>
      <w:r w:rsidRPr="00F97635">
        <w:t>The harm associated with such a wait is severe, including the risk of deportation and family separation.</w:t>
      </w:r>
      <w:r>
        <w:t xml:space="preserve"> </w:t>
      </w:r>
      <w:r w:rsidR="004838AC">
        <w:rPr>
          <w:lang w:eastAsia="en-US"/>
        </w:rPr>
        <w:t>Individuals waiting for determinations on ministerial relief applications are often overseas, having faced deportation in the interim. This means</w:t>
      </w:r>
      <w:r w:rsidR="008A6513">
        <w:rPr>
          <w:lang w:eastAsia="en-US"/>
        </w:rPr>
        <w:t xml:space="preserve"> family separation and </w:t>
      </w:r>
      <w:r w:rsidR="004838AC">
        <w:rPr>
          <w:lang w:eastAsia="en-US"/>
        </w:rPr>
        <w:t xml:space="preserve">the ensuing </w:t>
      </w:r>
      <w:r w:rsidR="008A6513">
        <w:rPr>
          <w:lang w:eastAsia="en-US"/>
        </w:rPr>
        <w:t>harms</w:t>
      </w:r>
      <w:r w:rsidR="0057100E">
        <w:rPr>
          <w:lang w:eastAsia="en-US"/>
        </w:rPr>
        <w:t xml:space="preserve">, including family breakdown and </w:t>
      </w:r>
      <w:r w:rsidR="00AA1F3B">
        <w:rPr>
          <w:lang w:eastAsia="en-US"/>
        </w:rPr>
        <w:t>detrimental</w:t>
      </w:r>
      <w:r>
        <w:rPr>
          <w:lang w:eastAsia="en-US"/>
        </w:rPr>
        <w:t xml:space="preserve"> </w:t>
      </w:r>
      <w:r w:rsidR="0057100E">
        <w:rPr>
          <w:lang w:eastAsia="en-US"/>
        </w:rPr>
        <w:t>impact on family members’ lives.</w:t>
      </w:r>
    </w:p>
    <w:p w14:paraId="630E0070" w14:textId="181819A2" w:rsidR="00450282" w:rsidRDefault="00FB1DB5" w:rsidP="00450282">
      <w:pPr>
        <w:pStyle w:val="ListParagraph"/>
        <w:numPr>
          <w:ilvl w:val="0"/>
          <w:numId w:val="1"/>
        </w:numPr>
        <w:spacing w:line="480" w:lineRule="auto"/>
        <w:ind w:left="0" w:firstLine="0"/>
        <w:jc w:val="both"/>
        <w:rPr>
          <w:lang w:eastAsia="en-US"/>
        </w:rPr>
      </w:pPr>
      <w:r>
        <w:rPr>
          <w:lang w:eastAsia="en-US"/>
        </w:rPr>
        <w:t>M</w:t>
      </w:r>
      <w:r w:rsidR="0082256D">
        <w:rPr>
          <w:lang w:eastAsia="en-US"/>
        </w:rPr>
        <w:t xml:space="preserve">inisterial </w:t>
      </w:r>
      <w:r>
        <w:rPr>
          <w:lang w:eastAsia="en-US"/>
        </w:rPr>
        <w:t>r</w:t>
      </w:r>
      <w:r w:rsidR="0082256D">
        <w:rPr>
          <w:lang w:eastAsia="en-US"/>
        </w:rPr>
        <w:t xml:space="preserve">elief does not preclude the adoption of a </w:t>
      </w:r>
      <w:r w:rsidR="00A16D4E">
        <w:rPr>
          <w:lang w:eastAsia="en-US"/>
        </w:rPr>
        <w:t>better-informed</w:t>
      </w:r>
      <w:r w:rsidR="0082256D">
        <w:rPr>
          <w:lang w:eastAsia="en-US"/>
        </w:rPr>
        <w:t xml:space="preserve"> interpretation of </w:t>
      </w:r>
      <w:r w:rsidR="00887C23">
        <w:rPr>
          <w:lang w:eastAsia="en-US"/>
        </w:rPr>
        <w:t>s. 34(1)(b)</w:t>
      </w:r>
      <w:r w:rsidR="0082256D">
        <w:rPr>
          <w:lang w:eastAsia="en-US"/>
        </w:rPr>
        <w:t xml:space="preserve"> that avoids undesired outcome</w:t>
      </w:r>
      <w:r w:rsidR="00B00D0E">
        <w:rPr>
          <w:lang w:eastAsia="en-US"/>
        </w:rPr>
        <w:t>s</w:t>
      </w:r>
      <w:r w:rsidR="0082256D">
        <w:rPr>
          <w:lang w:eastAsia="en-US"/>
        </w:rPr>
        <w:t xml:space="preserve"> and</w:t>
      </w:r>
      <w:r>
        <w:rPr>
          <w:lang w:eastAsia="en-US"/>
        </w:rPr>
        <w:t xml:space="preserve"> prevents harm </w:t>
      </w:r>
      <w:r w:rsidR="004838AC">
        <w:rPr>
          <w:lang w:eastAsia="en-US"/>
        </w:rPr>
        <w:t xml:space="preserve">from accuring to </w:t>
      </w:r>
      <w:r>
        <w:rPr>
          <w:lang w:eastAsia="en-US"/>
        </w:rPr>
        <w:t xml:space="preserve">individuals </w:t>
      </w:r>
      <w:r w:rsidR="004838AC">
        <w:rPr>
          <w:lang w:eastAsia="en-US"/>
        </w:rPr>
        <w:t xml:space="preserve">who are </w:t>
      </w:r>
      <w:r>
        <w:rPr>
          <w:lang w:eastAsia="en-US"/>
        </w:rPr>
        <w:t xml:space="preserve">undeserving of such harm. </w:t>
      </w:r>
      <w:r w:rsidR="0057100E">
        <w:rPr>
          <w:lang w:eastAsia="en-US"/>
        </w:rPr>
        <w:t xml:space="preserve">Adopting </w:t>
      </w:r>
      <w:r w:rsidR="004838AC">
        <w:rPr>
          <w:lang w:eastAsia="en-US"/>
        </w:rPr>
        <w:t>this</w:t>
      </w:r>
      <w:r w:rsidR="0057100E">
        <w:rPr>
          <w:lang w:eastAsia="en-US"/>
        </w:rPr>
        <w:t xml:space="preserve"> interpretation will</w:t>
      </w:r>
      <w:r>
        <w:rPr>
          <w:lang w:eastAsia="en-US"/>
        </w:rPr>
        <w:t xml:space="preserve"> also improve </w:t>
      </w:r>
      <w:r w:rsidR="004838AC">
        <w:rPr>
          <w:lang w:eastAsia="en-US"/>
        </w:rPr>
        <w:t xml:space="preserve">the </w:t>
      </w:r>
      <w:r>
        <w:rPr>
          <w:lang w:eastAsia="en-US"/>
        </w:rPr>
        <w:t>efficiency of the justice system by</w:t>
      </w:r>
      <w:r w:rsidR="0082256D">
        <w:rPr>
          <w:lang w:eastAsia="en-US"/>
        </w:rPr>
        <w:t xml:space="preserve"> sav</w:t>
      </w:r>
      <w:r>
        <w:rPr>
          <w:lang w:eastAsia="en-US"/>
        </w:rPr>
        <w:t>ing</w:t>
      </w:r>
      <w:r w:rsidR="0082256D">
        <w:rPr>
          <w:lang w:eastAsia="en-US"/>
        </w:rPr>
        <w:t xml:space="preserve"> </w:t>
      </w:r>
      <w:r w:rsidR="004838AC">
        <w:rPr>
          <w:lang w:eastAsia="en-US"/>
        </w:rPr>
        <w:t xml:space="preserve">valuable </w:t>
      </w:r>
      <w:r w:rsidR="0082256D">
        <w:rPr>
          <w:lang w:eastAsia="en-US"/>
        </w:rPr>
        <w:t>time and resources that would otherwise be wasted on the step</w:t>
      </w:r>
      <w:r w:rsidR="001F0AC6">
        <w:rPr>
          <w:lang w:eastAsia="en-US"/>
        </w:rPr>
        <w:t>s</w:t>
      </w:r>
      <w:r w:rsidR="0082256D">
        <w:rPr>
          <w:lang w:eastAsia="en-US"/>
        </w:rPr>
        <w:t xml:space="preserve"> </w:t>
      </w:r>
      <w:r w:rsidR="004838AC">
        <w:rPr>
          <w:lang w:eastAsia="en-US"/>
        </w:rPr>
        <w:t xml:space="preserve">involved in an application </w:t>
      </w:r>
      <w:r w:rsidR="0082256D">
        <w:rPr>
          <w:lang w:eastAsia="en-US"/>
        </w:rPr>
        <w:t xml:space="preserve">for </w:t>
      </w:r>
      <w:r>
        <w:rPr>
          <w:lang w:eastAsia="en-US"/>
        </w:rPr>
        <w:t>m</w:t>
      </w:r>
      <w:r w:rsidR="0082256D">
        <w:rPr>
          <w:lang w:eastAsia="en-US"/>
        </w:rPr>
        <w:t xml:space="preserve">inisterial </w:t>
      </w:r>
      <w:r>
        <w:rPr>
          <w:lang w:eastAsia="en-US"/>
        </w:rPr>
        <w:t>r</w:t>
      </w:r>
      <w:r w:rsidR="0082256D">
        <w:rPr>
          <w:lang w:eastAsia="en-US"/>
        </w:rPr>
        <w:t>elief.</w:t>
      </w:r>
    </w:p>
    <w:p w14:paraId="060DD9E4" w14:textId="395CF270" w:rsidR="002F505F" w:rsidRDefault="00F509AA" w:rsidP="005436EE">
      <w:pPr>
        <w:pStyle w:val="ListParagraph"/>
        <w:numPr>
          <w:ilvl w:val="0"/>
          <w:numId w:val="22"/>
        </w:numPr>
        <w:rPr>
          <w:b/>
          <w:bCs/>
          <w:i/>
          <w:iCs/>
        </w:rPr>
      </w:pPr>
      <w:r>
        <w:rPr>
          <w:b/>
          <w:bCs/>
          <w:i/>
          <w:iCs/>
        </w:rPr>
        <w:t>T</w:t>
      </w:r>
      <w:r w:rsidR="002F505F">
        <w:rPr>
          <w:b/>
          <w:bCs/>
          <w:i/>
          <w:iCs/>
        </w:rPr>
        <w:t xml:space="preserve">he BNP does not fall under </w:t>
      </w:r>
      <w:r>
        <w:rPr>
          <w:b/>
          <w:bCs/>
          <w:i/>
          <w:iCs/>
        </w:rPr>
        <w:t>s. 34(1)(b)</w:t>
      </w:r>
      <w:r w:rsidR="002F505F">
        <w:rPr>
          <w:b/>
          <w:bCs/>
          <w:i/>
          <w:iCs/>
        </w:rPr>
        <w:t xml:space="preserve"> </w:t>
      </w:r>
    </w:p>
    <w:p w14:paraId="3DCD7FB7" w14:textId="77777777" w:rsidR="005436EE" w:rsidRPr="002F505F" w:rsidRDefault="005436EE" w:rsidP="005436EE">
      <w:pPr>
        <w:pStyle w:val="ListParagraph"/>
        <w:rPr>
          <w:b/>
          <w:bCs/>
          <w:i/>
          <w:iCs/>
        </w:rPr>
      </w:pPr>
    </w:p>
    <w:p w14:paraId="2EF3CEE8" w14:textId="02F1FA63" w:rsidR="00450282" w:rsidRPr="00F509AA" w:rsidRDefault="004838AC" w:rsidP="00F509AA">
      <w:pPr>
        <w:pStyle w:val="ListParagraph"/>
        <w:numPr>
          <w:ilvl w:val="0"/>
          <w:numId w:val="1"/>
        </w:numPr>
        <w:spacing w:line="480" w:lineRule="auto"/>
        <w:ind w:left="0" w:firstLine="0"/>
        <w:jc w:val="both"/>
      </w:pPr>
      <w:r>
        <w:rPr>
          <w:lang w:eastAsia="en-US"/>
        </w:rPr>
        <w:t xml:space="preserve">An application of the </w:t>
      </w:r>
      <w:r w:rsidR="00C20996">
        <w:rPr>
          <w:lang w:eastAsia="en-US"/>
        </w:rPr>
        <w:t>Federal Court’s</w:t>
      </w:r>
      <w:r>
        <w:rPr>
          <w:lang w:eastAsia="en-US"/>
        </w:rPr>
        <w:t xml:space="preserve"> interpretation leads to th</w:t>
      </w:r>
      <w:r w:rsidR="00163D38">
        <w:rPr>
          <w:lang w:eastAsia="en-US"/>
        </w:rPr>
        <w:t>e</w:t>
      </w:r>
      <w:r>
        <w:rPr>
          <w:lang w:eastAsia="en-US"/>
        </w:rPr>
        <w:t xml:space="preserve"> </w:t>
      </w:r>
      <w:r w:rsidR="00C20C00">
        <w:rPr>
          <w:lang w:eastAsia="en-US"/>
        </w:rPr>
        <w:t>c</w:t>
      </w:r>
      <w:r>
        <w:rPr>
          <w:lang w:eastAsia="en-US"/>
        </w:rPr>
        <w:t>onclusion that the O</w:t>
      </w:r>
      <w:r w:rsidR="001C1B0B">
        <w:rPr>
          <w:lang w:eastAsia="en-US"/>
        </w:rPr>
        <w:t>fficer</w:t>
      </w:r>
      <w:r w:rsidR="009005B7">
        <w:rPr>
          <w:lang w:eastAsia="en-US"/>
        </w:rPr>
        <w:t xml:space="preserve">’s determination </w:t>
      </w:r>
      <w:r w:rsidR="001C1B0B">
        <w:rPr>
          <w:lang w:eastAsia="en-US"/>
        </w:rPr>
        <w:t>t</w:t>
      </w:r>
      <w:r w:rsidR="001C1B0B" w:rsidRPr="001C1B0B">
        <w:rPr>
          <w:lang w:eastAsia="en-US"/>
        </w:rPr>
        <w:t xml:space="preserve">hat the BNP </w:t>
      </w:r>
      <w:r w:rsidR="001C1B0B">
        <w:rPr>
          <w:lang w:eastAsia="en-US"/>
        </w:rPr>
        <w:t>f</w:t>
      </w:r>
      <w:r w:rsidR="001C1B0B" w:rsidRPr="001C1B0B">
        <w:rPr>
          <w:lang w:eastAsia="en-US"/>
        </w:rPr>
        <w:t xml:space="preserve">alls under s. 34(1)(b) </w:t>
      </w:r>
      <w:r w:rsidR="001C1B0B">
        <w:rPr>
          <w:lang w:eastAsia="en-US"/>
        </w:rPr>
        <w:t>i</w:t>
      </w:r>
      <w:r w:rsidR="001C1B0B" w:rsidRPr="001C1B0B">
        <w:rPr>
          <w:lang w:eastAsia="en-US"/>
        </w:rPr>
        <w:t xml:space="preserve">s </w:t>
      </w:r>
      <w:r w:rsidR="001C1B0B">
        <w:rPr>
          <w:lang w:eastAsia="en-US"/>
        </w:rPr>
        <w:t>u</w:t>
      </w:r>
      <w:r w:rsidR="001C1B0B" w:rsidRPr="001C1B0B">
        <w:rPr>
          <w:lang w:eastAsia="en-US"/>
        </w:rPr>
        <w:t>nreasonable</w:t>
      </w:r>
      <w:r w:rsidR="001C1B0B">
        <w:rPr>
          <w:lang w:eastAsia="en-US"/>
        </w:rPr>
        <w:t>. T</w:t>
      </w:r>
      <w:r w:rsidR="005B22AC">
        <w:rPr>
          <w:lang w:eastAsia="en-US"/>
        </w:rPr>
        <w:t xml:space="preserve">he </w:t>
      </w:r>
      <w:r>
        <w:rPr>
          <w:lang w:eastAsia="en-US"/>
        </w:rPr>
        <w:t xml:space="preserve">conduct at issue </w:t>
      </w:r>
      <w:r w:rsidR="00E22E3B">
        <w:rPr>
          <w:lang w:eastAsia="en-US"/>
        </w:rPr>
        <w:t xml:space="preserve">took place in the course of the </w:t>
      </w:r>
      <w:r w:rsidR="005B22AC">
        <w:rPr>
          <w:lang w:eastAsia="en-US"/>
        </w:rPr>
        <w:t>BNP</w:t>
      </w:r>
      <w:r w:rsidR="00E22E3B">
        <w:rPr>
          <w:lang w:eastAsia="en-US"/>
        </w:rPr>
        <w:t xml:space="preserve"> </w:t>
      </w:r>
      <w:r w:rsidR="005B22AC">
        <w:rPr>
          <w:lang w:eastAsia="en-US"/>
        </w:rPr>
        <w:t xml:space="preserve">carrying out its legitimate democratic function within the </w:t>
      </w:r>
      <w:r w:rsidR="00E22E3B">
        <w:rPr>
          <w:lang w:eastAsia="en-US"/>
        </w:rPr>
        <w:t xml:space="preserve">bounds </w:t>
      </w:r>
      <w:r w:rsidR="005B22AC">
        <w:rPr>
          <w:lang w:eastAsia="en-US"/>
        </w:rPr>
        <w:t xml:space="preserve">of the </w:t>
      </w:r>
      <w:r w:rsidR="00E22E3B">
        <w:rPr>
          <w:lang w:eastAsia="en-US"/>
        </w:rPr>
        <w:t xml:space="preserve">democratic operation of the </w:t>
      </w:r>
      <w:r w:rsidR="005B22AC">
        <w:rPr>
          <w:lang w:eastAsia="en-US"/>
        </w:rPr>
        <w:t xml:space="preserve">Bangladesh </w:t>
      </w:r>
      <w:r w:rsidR="00E22E3B">
        <w:rPr>
          <w:lang w:eastAsia="en-US"/>
        </w:rPr>
        <w:t>political</w:t>
      </w:r>
      <w:r w:rsidR="005B22AC">
        <w:rPr>
          <w:lang w:eastAsia="en-US"/>
        </w:rPr>
        <w:t xml:space="preserve"> system.</w:t>
      </w:r>
      <w:r w:rsidR="0057434A">
        <w:rPr>
          <w:lang w:eastAsia="en-US"/>
        </w:rPr>
        <w:t xml:space="preserve"> The </w:t>
      </w:r>
      <w:r w:rsidR="00711D09">
        <w:rPr>
          <w:lang w:eastAsia="en-US"/>
        </w:rPr>
        <w:t xml:space="preserve">BNP’s </w:t>
      </w:r>
      <w:r w:rsidR="0057434A">
        <w:rPr>
          <w:lang w:eastAsia="en-US"/>
        </w:rPr>
        <w:t xml:space="preserve">conduct </w:t>
      </w:r>
      <w:r w:rsidR="00E22E3B">
        <w:rPr>
          <w:lang w:eastAsia="en-US"/>
        </w:rPr>
        <w:t xml:space="preserve">did not constitute an act aimed at </w:t>
      </w:r>
      <w:r w:rsidR="00F97635">
        <w:rPr>
          <w:lang w:eastAsia="en-US"/>
        </w:rPr>
        <w:t>overthrow</w:t>
      </w:r>
      <w:r w:rsidR="00E22E3B">
        <w:rPr>
          <w:lang w:eastAsia="en-US"/>
        </w:rPr>
        <w:t>ing</w:t>
      </w:r>
      <w:r w:rsidR="00F97635">
        <w:rPr>
          <w:lang w:eastAsia="en-US"/>
        </w:rPr>
        <w:t xml:space="preserve"> the government</w:t>
      </w:r>
      <w:r w:rsidR="0057434A">
        <w:rPr>
          <w:lang w:eastAsia="en-US"/>
        </w:rPr>
        <w:t>.</w:t>
      </w:r>
      <w:r w:rsidR="005B22AC">
        <w:rPr>
          <w:lang w:eastAsia="en-US"/>
        </w:rPr>
        <w:t xml:space="preserve"> </w:t>
      </w:r>
      <w:r w:rsidR="009005B7">
        <w:rPr>
          <w:lang w:eastAsia="en-US"/>
        </w:rPr>
        <w:t>T</w:t>
      </w:r>
      <w:r w:rsidR="0057434A">
        <w:rPr>
          <w:lang w:eastAsia="en-US"/>
        </w:rPr>
        <w:t xml:space="preserve">he BNP </w:t>
      </w:r>
      <w:r w:rsidR="009005B7">
        <w:rPr>
          <w:lang w:eastAsia="en-US"/>
        </w:rPr>
        <w:t xml:space="preserve">should </w:t>
      </w:r>
      <w:r w:rsidR="00E22E3B">
        <w:rPr>
          <w:lang w:eastAsia="en-US"/>
        </w:rPr>
        <w:t xml:space="preserve">therefore </w:t>
      </w:r>
      <w:r w:rsidR="009005B7">
        <w:rPr>
          <w:lang w:eastAsia="en-US"/>
        </w:rPr>
        <w:t xml:space="preserve">be presumed to </w:t>
      </w:r>
      <w:r w:rsidR="00E22E3B">
        <w:rPr>
          <w:lang w:eastAsia="en-US"/>
        </w:rPr>
        <w:t xml:space="preserve">have </w:t>
      </w:r>
      <w:r w:rsidR="009005B7">
        <w:rPr>
          <w:lang w:eastAsia="en-US"/>
        </w:rPr>
        <w:t>be</w:t>
      </w:r>
      <w:r w:rsidR="00E22E3B">
        <w:rPr>
          <w:lang w:eastAsia="en-US"/>
        </w:rPr>
        <w:t>en</w:t>
      </w:r>
      <w:r w:rsidR="009005B7">
        <w:rPr>
          <w:lang w:eastAsia="en-US"/>
        </w:rPr>
        <w:t xml:space="preserve"> acting in its legitimate political function through the exercise of democratic and political activities, and </w:t>
      </w:r>
      <w:r w:rsidR="00E22E3B">
        <w:rPr>
          <w:lang w:eastAsia="en-US"/>
        </w:rPr>
        <w:t xml:space="preserve">is therefore </w:t>
      </w:r>
      <w:r w:rsidR="009005B7">
        <w:rPr>
          <w:lang w:eastAsia="en-US"/>
        </w:rPr>
        <w:t xml:space="preserve">not an organization that has engaged in or instigates subversion by force. </w:t>
      </w:r>
      <w:r w:rsidR="00E22E3B">
        <w:rPr>
          <w:lang w:eastAsia="en-US"/>
        </w:rPr>
        <w:t>Moreover, there was insufficient evidence before the Oficer to rebut the presumption. As a result, the BNP</w:t>
      </w:r>
      <w:r w:rsidR="009005B7">
        <w:rPr>
          <w:lang w:eastAsia="en-US"/>
        </w:rPr>
        <w:t xml:space="preserve"> </w:t>
      </w:r>
      <w:r w:rsidR="0057434A">
        <w:rPr>
          <w:lang w:eastAsia="en-US"/>
        </w:rPr>
        <w:t>does not fall within the scope of s. 34(1)(b).</w:t>
      </w:r>
      <w:r w:rsidR="00711D09">
        <w:rPr>
          <w:lang w:eastAsia="en-US"/>
        </w:rPr>
        <w:t xml:space="preserve"> The appeal should be dismissed.</w:t>
      </w:r>
    </w:p>
    <w:p w14:paraId="20945296" w14:textId="1848F626" w:rsidR="002F505F" w:rsidRPr="00F509AA" w:rsidRDefault="002F505F" w:rsidP="002F505F">
      <w:pPr>
        <w:pStyle w:val="ListParagraph"/>
        <w:numPr>
          <w:ilvl w:val="0"/>
          <w:numId w:val="1"/>
        </w:numPr>
        <w:spacing w:line="480" w:lineRule="auto"/>
        <w:ind w:left="0" w:firstLine="0"/>
        <w:jc w:val="both"/>
        <w:rPr>
          <w:lang w:eastAsia="en-US"/>
        </w:rPr>
      </w:pPr>
      <w:r w:rsidRPr="00F509AA">
        <w:rPr>
          <w:lang w:eastAsia="en-US"/>
        </w:rPr>
        <w:t xml:space="preserve">In the alternative, if this Court </w:t>
      </w:r>
      <w:r w:rsidR="00E22E3B" w:rsidRPr="00F509AA">
        <w:rPr>
          <w:lang w:eastAsia="en-US"/>
        </w:rPr>
        <w:t>does not</w:t>
      </w:r>
      <w:r w:rsidRPr="00F509AA">
        <w:rPr>
          <w:lang w:eastAsia="en-US"/>
        </w:rPr>
        <w:t xml:space="preserve"> adopt </w:t>
      </w:r>
      <w:r w:rsidR="00C20996">
        <w:rPr>
          <w:lang w:eastAsia="en-US"/>
        </w:rPr>
        <w:t>the Federal Court’s</w:t>
      </w:r>
      <w:r w:rsidRPr="00F509AA">
        <w:rPr>
          <w:lang w:eastAsia="en-US"/>
        </w:rPr>
        <w:t xml:space="preserve"> interpretation of s. 34(1)(b), the Respondent </w:t>
      </w:r>
      <w:r w:rsidR="00000AE6" w:rsidRPr="00F509AA">
        <w:rPr>
          <w:lang w:eastAsia="en-US"/>
        </w:rPr>
        <w:t xml:space="preserve">submits that </w:t>
      </w:r>
      <w:r w:rsidR="00CC7200" w:rsidRPr="00F509AA">
        <w:rPr>
          <w:lang w:eastAsia="en-US"/>
        </w:rPr>
        <w:t>the evidence does not establish that the BNP intended the accompanying violence when it called for hartals</w:t>
      </w:r>
      <w:r w:rsidRPr="00F509AA">
        <w:rPr>
          <w:lang w:eastAsia="en-US"/>
        </w:rPr>
        <w:t>.</w:t>
      </w:r>
      <w:r w:rsidR="00CC7200" w:rsidRPr="00F509AA">
        <w:rPr>
          <w:lang w:eastAsia="en-US"/>
        </w:rPr>
        <w:t xml:space="preserve"> The Federal Court’s decision should </w:t>
      </w:r>
      <w:r w:rsidR="00142B5C" w:rsidRPr="00F509AA">
        <w:rPr>
          <w:lang w:eastAsia="en-US"/>
        </w:rPr>
        <w:t xml:space="preserve">therefore </w:t>
      </w:r>
      <w:r w:rsidR="00CC7200" w:rsidRPr="00F509AA">
        <w:rPr>
          <w:lang w:eastAsia="en-US"/>
        </w:rPr>
        <w:t>be upheld.</w:t>
      </w:r>
    </w:p>
    <w:p w14:paraId="4C10F5FA" w14:textId="1983C6E7" w:rsidR="009D1378" w:rsidRDefault="00422355" w:rsidP="009D1378">
      <w:pPr>
        <w:pStyle w:val="ListParagraph"/>
        <w:numPr>
          <w:ilvl w:val="0"/>
          <w:numId w:val="1"/>
        </w:numPr>
        <w:spacing w:line="480" w:lineRule="auto"/>
        <w:ind w:left="0" w:firstLine="0"/>
        <w:jc w:val="both"/>
        <w:rPr>
          <w:lang w:eastAsia="en-US"/>
        </w:rPr>
      </w:pPr>
      <w:r>
        <w:rPr>
          <w:lang w:eastAsia="en-US"/>
        </w:rPr>
        <w:t>For an organization to be captured by s. 34(1)(b)</w:t>
      </w:r>
      <w:r w:rsidRPr="006605CA">
        <w:rPr>
          <w:lang w:eastAsia="en-US"/>
        </w:rPr>
        <w:t>,</w:t>
      </w:r>
      <w:r>
        <w:rPr>
          <w:lang w:eastAsia="en-US"/>
        </w:rPr>
        <w:t xml:space="preserve"> </w:t>
      </w:r>
      <w:r w:rsidR="00E047B0">
        <w:rPr>
          <w:lang w:eastAsia="en-US"/>
        </w:rPr>
        <w:t xml:space="preserve">the decisionmaker must make a finding that the organization intended to use force </w:t>
      </w:r>
      <w:r w:rsidRPr="006605CA">
        <w:rPr>
          <w:lang w:eastAsia="en-US"/>
        </w:rPr>
        <w:t xml:space="preserve">in subverting a government. </w:t>
      </w:r>
      <w:r w:rsidR="00FC3AE8">
        <w:rPr>
          <w:lang w:eastAsia="en-US"/>
        </w:rPr>
        <w:t xml:space="preserve">The Federal Court in </w:t>
      </w:r>
      <w:r w:rsidR="003A385A" w:rsidRPr="00157D20">
        <w:rPr>
          <w:rFonts w:asciiTheme="majorBidi" w:hAnsiTheme="majorBidi" w:cstheme="majorBidi"/>
          <w:i/>
          <w:iCs/>
        </w:rPr>
        <w:t>Oremade</w:t>
      </w:r>
      <w:r w:rsidR="003A385A">
        <w:rPr>
          <w:lang w:eastAsia="en-US"/>
        </w:rPr>
        <w:t xml:space="preserve"> </w:t>
      </w:r>
      <w:r w:rsidR="00FC3AE8">
        <w:rPr>
          <w:lang w:eastAsia="en-US"/>
        </w:rPr>
        <w:t xml:space="preserve">held that the intention to use force is critical to the applicability of the provision. </w:t>
      </w:r>
      <w:r>
        <w:rPr>
          <w:lang w:eastAsia="en-US"/>
        </w:rPr>
        <w:t xml:space="preserve">The </w:t>
      </w:r>
      <w:r w:rsidR="00E22E3B">
        <w:rPr>
          <w:lang w:eastAsia="en-US"/>
        </w:rPr>
        <w:t>O</w:t>
      </w:r>
      <w:r>
        <w:rPr>
          <w:lang w:eastAsia="en-US"/>
        </w:rPr>
        <w:t>fficer erred in interpreting the evidence of violence, which accompanied the calls for hartals, as proof that the BNP intended to use force.</w:t>
      </w:r>
    </w:p>
    <w:p w14:paraId="16C411B2" w14:textId="75EE8D14" w:rsidR="00422355" w:rsidRDefault="00FC3AE8" w:rsidP="00FC3AE8">
      <w:pPr>
        <w:pStyle w:val="ListParagraph"/>
        <w:rPr>
          <w:rFonts w:asciiTheme="majorBidi" w:hAnsiTheme="majorBidi" w:cstheme="majorBidi"/>
        </w:rPr>
      </w:pPr>
      <w:r w:rsidRPr="00157D20">
        <w:rPr>
          <w:rFonts w:asciiTheme="majorBidi" w:hAnsiTheme="majorBidi" w:cstheme="majorBidi"/>
          <w:i/>
          <w:iCs/>
        </w:rPr>
        <w:t>Oremade</w:t>
      </w:r>
      <w:r>
        <w:rPr>
          <w:rFonts w:asciiTheme="majorBidi" w:hAnsiTheme="majorBidi" w:cstheme="majorBidi"/>
          <w:i/>
          <w:iCs/>
        </w:rPr>
        <w:t>, supra</w:t>
      </w:r>
      <w:r w:rsidR="00D42A51">
        <w:rPr>
          <w:rFonts w:asciiTheme="majorBidi" w:hAnsiTheme="majorBidi" w:cstheme="majorBidi"/>
          <w:i/>
          <w:iCs/>
        </w:rPr>
        <w:t xml:space="preserve"> </w:t>
      </w:r>
      <w:r w:rsidR="00D42A51">
        <w:rPr>
          <w:rFonts w:asciiTheme="majorBidi" w:hAnsiTheme="majorBidi" w:cstheme="majorBidi"/>
        </w:rPr>
        <w:t>para 25</w:t>
      </w:r>
      <w:r>
        <w:rPr>
          <w:rFonts w:asciiTheme="majorBidi" w:hAnsiTheme="majorBidi" w:cstheme="majorBidi"/>
          <w:i/>
          <w:iCs/>
        </w:rPr>
        <w:t xml:space="preserve"> </w:t>
      </w:r>
      <w:r w:rsidRPr="00157D20">
        <w:rPr>
          <w:rFonts w:asciiTheme="majorBidi" w:hAnsiTheme="majorBidi" w:cstheme="majorBidi"/>
        </w:rPr>
        <w:t>at para 25</w:t>
      </w:r>
      <w:r>
        <w:rPr>
          <w:rFonts w:asciiTheme="majorBidi" w:hAnsiTheme="majorBidi" w:cstheme="majorBidi"/>
        </w:rPr>
        <w:t>.</w:t>
      </w:r>
    </w:p>
    <w:p w14:paraId="0CDFB060" w14:textId="77777777" w:rsidR="00FC3AE8" w:rsidRPr="00FC3AE8" w:rsidRDefault="00FC3AE8" w:rsidP="00FC3AE8">
      <w:pPr>
        <w:pStyle w:val="ListParagraph"/>
        <w:rPr>
          <w:rFonts w:asciiTheme="majorBidi" w:hAnsiTheme="majorBidi" w:cstheme="majorBidi"/>
        </w:rPr>
      </w:pPr>
    </w:p>
    <w:p w14:paraId="41EE9ABD" w14:textId="7E46DE1F" w:rsidR="00FC3AE8" w:rsidRDefault="009D1378" w:rsidP="00FC3AE8">
      <w:pPr>
        <w:pStyle w:val="ListParagraph"/>
        <w:numPr>
          <w:ilvl w:val="0"/>
          <w:numId w:val="1"/>
        </w:numPr>
        <w:spacing w:line="480" w:lineRule="auto"/>
        <w:ind w:left="0" w:firstLine="0"/>
        <w:jc w:val="both"/>
        <w:rPr>
          <w:lang w:eastAsia="en-US"/>
        </w:rPr>
      </w:pPr>
      <w:r w:rsidRPr="00422355">
        <w:rPr>
          <w:lang w:eastAsia="en-US"/>
        </w:rPr>
        <w:t xml:space="preserve">The use of force in </w:t>
      </w:r>
      <w:r w:rsidR="00FC3AE8">
        <w:rPr>
          <w:lang w:eastAsia="en-US"/>
        </w:rPr>
        <w:t xml:space="preserve">the </w:t>
      </w:r>
      <w:r w:rsidRPr="00422355">
        <w:rPr>
          <w:lang w:eastAsia="en-US"/>
        </w:rPr>
        <w:t>subversion must be more than an accident</w:t>
      </w:r>
      <w:r w:rsidR="00E22E3B">
        <w:rPr>
          <w:lang w:eastAsia="en-US"/>
        </w:rPr>
        <w:t>;</w:t>
      </w:r>
      <w:r w:rsidRPr="00422355">
        <w:rPr>
          <w:lang w:eastAsia="en-US"/>
        </w:rPr>
        <w:t xml:space="preserve"> it must be </w:t>
      </w:r>
      <w:r w:rsidR="00FC3AE8">
        <w:rPr>
          <w:lang w:eastAsia="en-US"/>
        </w:rPr>
        <w:t xml:space="preserve">the </w:t>
      </w:r>
      <w:r w:rsidRPr="00422355">
        <w:rPr>
          <w:lang w:eastAsia="en-US"/>
        </w:rPr>
        <w:t>intended means to affect the overthrow of the government.</w:t>
      </w:r>
      <w:r w:rsidR="00FC3AE8">
        <w:rPr>
          <w:lang w:eastAsia="en-US"/>
        </w:rPr>
        <w:t xml:space="preserve"> The Federal Court in </w:t>
      </w:r>
      <w:r w:rsidR="00FC3AE8" w:rsidRPr="00FC3AE8">
        <w:rPr>
          <w:i/>
          <w:iCs/>
          <w:lang w:eastAsia="en-US"/>
        </w:rPr>
        <w:t>Rana</w:t>
      </w:r>
      <w:r w:rsidR="00FC3AE8">
        <w:rPr>
          <w:lang w:eastAsia="en-US"/>
        </w:rPr>
        <w:t xml:space="preserve"> </w:t>
      </w:r>
      <w:r w:rsidR="00E22E3B">
        <w:rPr>
          <w:lang w:eastAsia="en-US"/>
        </w:rPr>
        <w:t xml:space="preserve">characterized </w:t>
      </w:r>
      <w:r w:rsidR="00FC3AE8">
        <w:rPr>
          <w:lang w:eastAsia="en-US"/>
        </w:rPr>
        <w:t xml:space="preserve">the BNP’s </w:t>
      </w:r>
      <w:r w:rsidR="00E22E3B">
        <w:rPr>
          <w:lang w:eastAsia="en-US"/>
        </w:rPr>
        <w:t>calls</w:t>
      </w:r>
      <w:r w:rsidR="00FC3AE8">
        <w:rPr>
          <w:lang w:eastAsia="en-US"/>
        </w:rPr>
        <w:t xml:space="preserve"> for hartals </w:t>
      </w:r>
      <w:r w:rsidR="00E22E3B">
        <w:rPr>
          <w:lang w:eastAsia="en-US"/>
        </w:rPr>
        <w:t>as</w:t>
      </w:r>
      <w:r w:rsidR="00FC3AE8">
        <w:rPr>
          <w:lang w:eastAsia="en-US"/>
        </w:rPr>
        <w:t xml:space="preserve"> “</w:t>
      </w:r>
      <w:r w:rsidR="00FC3AE8" w:rsidRPr="00422355">
        <w:rPr>
          <w:lang w:eastAsia="en-US"/>
        </w:rPr>
        <w:t>a form of advocacy, protest, dissent or stoppage of work.</w:t>
      </w:r>
      <w:r w:rsidR="00FC3AE8">
        <w:rPr>
          <w:lang w:eastAsia="en-US"/>
        </w:rPr>
        <w:t xml:space="preserve">” The mere fact that hartals have </w:t>
      </w:r>
      <w:r w:rsidR="00E22E3B">
        <w:rPr>
          <w:lang w:eastAsia="en-US"/>
        </w:rPr>
        <w:t xml:space="preserve">on occasion </w:t>
      </w:r>
      <w:r w:rsidR="00A154A1">
        <w:rPr>
          <w:lang w:eastAsia="en-US"/>
        </w:rPr>
        <w:t>been accompanied by</w:t>
      </w:r>
      <w:r w:rsidR="00FC3AE8">
        <w:rPr>
          <w:lang w:eastAsia="en-US"/>
        </w:rPr>
        <w:t xml:space="preserve"> acts of violence </w:t>
      </w:r>
      <w:r w:rsidR="00E22E3B">
        <w:rPr>
          <w:lang w:eastAsia="en-US"/>
        </w:rPr>
        <w:t xml:space="preserve">in the past </w:t>
      </w:r>
      <w:r w:rsidR="00FC3AE8">
        <w:rPr>
          <w:lang w:eastAsia="en-US"/>
        </w:rPr>
        <w:t>is insufficient to establish the required intention. In the case at bar, even if the BNP’s conduct is deemed</w:t>
      </w:r>
      <w:r w:rsidR="00E047B0">
        <w:rPr>
          <w:lang w:eastAsia="en-US"/>
        </w:rPr>
        <w:t xml:space="preserve"> to have the intent to overthrow the </w:t>
      </w:r>
      <w:r w:rsidR="00E047B0" w:rsidRPr="00E047B0">
        <w:rPr>
          <w:lang w:eastAsia="en-US"/>
        </w:rPr>
        <w:t>Bangladesh</w:t>
      </w:r>
      <w:r w:rsidR="00E047B0">
        <w:rPr>
          <w:lang w:eastAsia="en-US"/>
        </w:rPr>
        <w:t xml:space="preserve"> government (</w:t>
      </w:r>
      <w:r w:rsidR="00FC3AE8">
        <w:rPr>
          <w:lang w:eastAsia="en-US"/>
        </w:rPr>
        <w:t xml:space="preserve">which the Respondent disagrees with), the required intention </w:t>
      </w:r>
      <w:r w:rsidR="00E047B0">
        <w:rPr>
          <w:lang w:eastAsia="en-US"/>
        </w:rPr>
        <w:t xml:space="preserve">to use force </w:t>
      </w:r>
      <w:r w:rsidR="00E22E3B">
        <w:rPr>
          <w:lang w:eastAsia="en-US"/>
        </w:rPr>
        <w:t>is not</w:t>
      </w:r>
      <w:r w:rsidR="00FC3AE8">
        <w:rPr>
          <w:lang w:eastAsia="en-US"/>
        </w:rPr>
        <w:t xml:space="preserve"> established, because the evidence merely </w:t>
      </w:r>
      <w:r w:rsidR="00E22E3B">
        <w:rPr>
          <w:lang w:eastAsia="en-US"/>
        </w:rPr>
        <w:t xml:space="preserve">discloses </w:t>
      </w:r>
      <w:r w:rsidR="00FC3AE8">
        <w:rPr>
          <w:lang w:eastAsia="en-US"/>
        </w:rPr>
        <w:t xml:space="preserve">a causal connection between the hartals and the acts of violence, which is insufficient to establish that the BNP </w:t>
      </w:r>
      <w:r w:rsidR="00FC3AE8" w:rsidRPr="008D6C66">
        <w:rPr>
          <w:b/>
          <w:bCs/>
          <w:i/>
          <w:iCs/>
          <w:lang w:eastAsia="en-US"/>
        </w:rPr>
        <w:t>intended</w:t>
      </w:r>
      <w:r w:rsidR="00FC3AE8">
        <w:rPr>
          <w:lang w:eastAsia="en-US"/>
        </w:rPr>
        <w:t xml:space="preserve"> the accompanying violence when it called for hartals.</w:t>
      </w:r>
      <w:r w:rsidR="00973387">
        <w:rPr>
          <w:lang w:eastAsia="en-US"/>
        </w:rPr>
        <w:t xml:space="preserve"> </w:t>
      </w:r>
    </w:p>
    <w:p w14:paraId="7F1568EC" w14:textId="05C16838" w:rsidR="009D1378" w:rsidRPr="00D54AE0" w:rsidRDefault="00FC3AE8" w:rsidP="00D54AE0">
      <w:pPr>
        <w:pStyle w:val="ListParagraph"/>
        <w:jc w:val="both"/>
        <w:rPr>
          <w:rFonts w:asciiTheme="majorBidi" w:hAnsiTheme="majorBidi" w:cstheme="majorBidi"/>
          <w:i/>
          <w:iCs/>
        </w:rPr>
      </w:pPr>
      <w:r w:rsidRPr="00422355">
        <w:rPr>
          <w:rFonts w:asciiTheme="majorBidi" w:hAnsiTheme="majorBidi" w:cstheme="majorBidi"/>
          <w:i/>
          <w:iCs/>
        </w:rPr>
        <w:t xml:space="preserve">Rana v Canada (Minister of Public Safety and Emergency Preparedness), </w:t>
      </w:r>
      <w:r w:rsidRPr="00422355">
        <w:rPr>
          <w:rFonts w:asciiTheme="majorBidi" w:hAnsiTheme="majorBidi" w:cstheme="majorBidi"/>
        </w:rPr>
        <w:t xml:space="preserve">2018 </w:t>
      </w:r>
      <w:r>
        <w:rPr>
          <w:rFonts w:asciiTheme="majorBidi" w:hAnsiTheme="majorBidi" w:cstheme="majorBidi"/>
        </w:rPr>
        <w:t>FC</w:t>
      </w:r>
      <w:r w:rsidRPr="00422355">
        <w:rPr>
          <w:rFonts w:asciiTheme="majorBidi" w:hAnsiTheme="majorBidi" w:cstheme="majorBidi"/>
        </w:rPr>
        <w:t xml:space="preserve"> 1080 at para</w:t>
      </w:r>
      <w:r w:rsidR="00E22E3B">
        <w:rPr>
          <w:rFonts w:asciiTheme="majorBidi" w:hAnsiTheme="majorBidi" w:cstheme="majorBidi"/>
        </w:rPr>
        <w:t>s</w:t>
      </w:r>
      <w:r w:rsidRPr="00422355">
        <w:rPr>
          <w:rFonts w:asciiTheme="majorBidi" w:hAnsiTheme="majorBidi" w:cstheme="majorBidi"/>
        </w:rPr>
        <w:t xml:space="preserve"> 66</w:t>
      </w:r>
      <w:r w:rsidR="00D42A51">
        <w:rPr>
          <w:rFonts w:asciiTheme="majorBidi" w:hAnsiTheme="majorBidi" w:cstheme="majorBidi"/>
        </w:rPr>
        <w:t xml:space="preserve">, </w:t>
      </w:r>
      <w:r w:rsidRPr="00422355">
        <w:rPr>
          <w:rFonts w:asciiTheme="majorBidi" w:hAnsiTheme="majorBidi" w:cstheme="majorBidi"/>
        </w:rPr>
        <w:t>67</w:t>
      </w:r>
      <w:r w:rsidRPr="00422355">
        <w:rPr>
          <w:rFonts w:asciiTheme="majorBidi" w:hAnsiTheme="majorBidi" w:cstheme="majorBidi"/>
          <w:i/>
          <w:iCs/>
        </w:rPr>
        <w:t xml:space="preserve"> </w:t>
      </w:r>
      <w:r w:rsidRPr="00D42A51">
        <w:rPr>
          <w:rFonts w:asciiTheme="majorBidi" w:hAnsiTheme="majorBidi" w:cstheme="majorBidi"/>
        </w:rPr>
        <w:t>[</w:t>
      </w:r>
      <w:r w:rsidRPr="00422355">
        <w:rPr>
          <w:rFonts w:asciiTheme="majorBidi" w:hAnsiTheme="majorBidi" w:cstheme="majorBidi"/>
          <w:i/>
          <w:iCs/>
        </w:rPr>
        <w:t>Rana</w:t>
      </w:r>
      <w:r w:rsidRPr="00D42A51">
        <w:rPr>
          <w:rFonts w:asciiTheme="majorBidi" w:hAnsiTheme="majorBidi" w:cstheme="majorBidi"/>
        </w:rPr>
        <w:t>]</w:t>
      </w:r>
      <w:r w:rsidRPr="00422355">
        <w:rPr>
          <w:rFonts w:asciiTheme="majorBidi" w:hAnsiTheme="majorBidi" w:cstheme="majorBidi"/>
          <w:i/>
          <w:iCs/>
        </w:rPr>
        <w:t>.</w:t>
      </w:r>
    </w:p>
    <w:p w14:paraId="6DEB25AB" w14:textId="5A3AF8DE" w:rsidR="00FC3AE8" w:rsidRDefault="00FC3AE8" w:rsidP="00FC3AE8">
      <w:pPr>
        <w:pStyle w:val="ListParagraph"/>
        <w:rPr>
          <w:rFonts w:asciiTheme="majorBidi" w:hAnsiTheme="majorBidi" w:cstheme="majorBidi"/>
        </w:rPr>
      </w:pPr>
      <w:r w:rsidRPr="00157D20">
        <w:rPr>
          <w:rFonts w:asciiTheme="majorBidi" w:hAnsiTheme="majorBidi" w:cstheme="majorBidi"/>
          <w:i/>
          <w:iCs/>
        </w:rPr>
        <w:t>Oremade</w:t>
      </w:r>
      <w:r>
        <w:rPr>
          <w:rFonts w:asciiTheme="majorBidi" w:hAnsiTheme="majorBidi" w:cstheme="majorBidi"/>
          <w:i/>
          <w:iCs/>
        </w:rPr>
        <w:t xml:space="preserve">, supra </w:t>
      </w:r>
      <w:r w:rsidR="00D42A51">
        <w:rPr>
          <w:rFonts w:asciiTheme="majorBidi" w:hAnsiTheme="majorBidi" w:cstheme="majorBidi"/>
        </w:rPr>
        <w:t xml:space="preserve">para 25 </w:t>
      </w:r>
      <w:r w:rsidRPr="00157D20">
        <w:rPr>
          <w:rFonts w:asciiTheme="majorBidi" w:hAnsiTheme="majorBidi" w:cstheme="majorBidi"/>
        </w:rPr>
        <w:t>at para 2</w:t>
      </w:r>
      <w:r>
        <w:rPr>
          <w:rFonts w:asciiTheme="majorBidi" w:hAnsiTheme="majorBidi" w:cstheme="majorBidi"/>
        </w:rPr>
        <w:t>9.</w:t>
      </w:r>
    </w:p>
    <w:p w14:paraId="4B8831D9" w14:textId="77777777" w:rsidR="00FC3AE8" w:rsidRDefault="00FC3AE8" w:rsidP="00FC3AE8">
      <w:pPr>
        <w:pStyle w:val="ListParagraph"/>
        <w:rPr>
          <w:rFonts w:asciiTheme="majorBidi" w:hAnsiTheme="majorBidi" w:cstheme="majorBidi"/>
        </w:rPr>
      </w:pPr>
    </w:p>
    <w:p w14:paraId="3CF7D772" w14:textId="09BB5E7B" w:rsidR="00F754C5" w:rsidRPr="00F97635" w:rsidRDefault="00FC3AE8" w:rsidP="00310200">
      <w:pPr>
        <w:pStyle w:val="ListParagraph"/>
        <w:numPr>
          <w:ilvl w:val="0"/>
          <w:numId w:val="1"/>
        </w:numPr>
        <w:spacing w:line="480" w:lineRule="auto"/>
        <w:ind w:left="0" w:firstLine="0"/>
        <w:jc w:val="both"/>
        <w:rPr>
          <w:u w:val="single"/>
        </w:rPr>
      </w:pPr>
      <w:r w:rsidRPr="00F97635">
        <w:rPr>
          <w:lang w:eastAsia="en-US"/>
        </w:rPr>
        <w:t xml:space="preserve">In the absence of </w:t>
      </w:r>
      <w:r w:rsidR="00E22E3B">
        <w:rPr>
          <w:lang w:eastAsia="en-US"/>
        </w:rPr>
        <w:t>the</w:t>
      </w:r>
      <w:r w:rsidRPr="00F97635">
        <w:rPr>
          <w:lang w:eastAsia="en-US"/>
        </w:rPr>
        <w:t xml:space="preserve"> intention to use force, the BNP does not fall under s. 34(1)(b) as an organization engaging in subversion by force of any government. </w:t>
      </w:r>
    </w:p>
    <w:p w14:paraId="431C0B96" w14:textId="7C5DE485" w:rsidR="00F77B16" w:rsidRDefault="00F57831" w:rsidP="00F77B16">
      <w:pPr>
        <w:pStyle w:val="ListParagraph"/>
        <w:numPr>
          <w:ilvl w:val="0"/>
          <w:numId w:val="27"/>
        </w:numPr>
        <w:spacing w:before="80" w:after="360"/>
        <w:ind w:left="426" w:hanging="426"/>
        <w:rPr>
          <w:b/>
          <w:bCs/>
          <w:u w:val="single"/>
        </w:rPr>
      </w:pPr>
      <w:r>
        <w:rPr>
          <w:b/>
          <w:bCs/>
          <w:u w:val="single"/>
        </w:rPr>
        <w:t>The Federal Court did not err in finding that the defence of duress applied to the circumstances of the case</w:t>
      </w:r>
    </w:p>
    <w:p w14:paraId="3914CD1F" w14:textId="77777777" w:rsidR="00F77B16" w:rsidRPr="00F77B16" w:rsidRDefault="00F77B16" w:rsidP="00F77B16">
      <w:pPr>
        <w:pStyle w:val="ListParagraph"/>
        <w:spacing w:before="80" w:after="360"/>
        <w:ind w:left="426"/>
        <w:rPr>
          <w:b/>
          <w:bCs/>
          <w:u w:val="single"/>
        </w:rPr>
      </w:pPr>
    </w:p>
    <w:p w14:paraId="66840FBF" w14:textId="7CE30709" w:rsidR="007B2266" w:rsidRDefault="00F57831" w:rsidP="00F57831">
      <w:pPr>
        <w:pStyle w:val="ListParagraph"/>
        <w:numPr>
          <w:ilvl w:val="0"/>
          <w:numId w:val="1"/>
        </w:numPr>
        <w:spacing w:line="480" w:lineRule="auto"/>
        <w:ind w:left="0" w:firstLine="0"/>
        <w:jc w:val="both"/>
        <w:rPr>
          <w:lang w:eastAsia="en-US"/>
        </w:rPr>
      </w:pPr>
      <w:r>
        <w:rPr>
          <w:lang w:eastAsia="en-US"/>
        </w:rPr>
        <w:t>The Federal Court did not err in its review of the Officer’s membership analysis. Evidence of d</w:t>
      </w:r>
      <w:r w:rsidRPr="007363A1">
        <w:rPr>
          <w:lang w:eastAsia="en-US"/>
        </w:rPr>
        <w:t xml:space="preserve">uress </w:t>
      </w:r>
      <w:r>
        <w:rPr>
          <w:lang w:eastAsia="en-US"/>
        </w:rPr>
        <w:t>is relevant to an inadmissibility determination under s</w:t>
      </w:r>
      <w:r w:rsidR="00163D38">
        <w:rPr>
          <w:lang w:eastAsia="en-US"/>
        </w:rPr>
        <w:t>.</w:t>
      </w:r>
      <w:r>
        <w:rPr>
          <w:lang w:eastAsia="en-US"/>
        </w:rPr>
        <w:t xml:space="preserve"> 34(1)(f) of the </w:t>
      </w:r>
      <w:r w:rsidRPr="00B54816">
        <w:rPr>
          <w:i/>
          <w:iCs/>
          <w:lang w:eastAsia="en-US"/>
        </w:rPr>
        <w:t>IRPA</w:t>
      </w:r>
      <w:r>
        <w:rPr>
          <w:lang w:eastAsia="en-US"/>
        </w:rPr>
        <w:t xml:space="preserve">. The Officer was thus required to consider the defence of duress raised by </w:t>
      </w:r>
      <w:r w:rsidRPr="007363A1">
        <w:rPr>
          <w:lang w:eastAsia="en-US"/>
        </w:rPr>
        <w:t>Mr</w:t>
      </w:r>
      <w:r w:rsidR="00163D38">
        <w:rPr>
          <w:lang w:eastAsia="en-US"/>
        </w:rPr>
        <w:t>.</w:t>
      </w:r>
      <w:r w:rsidRPr="007363A1">
        <w:rPr>
          <w:lang w:eastAsia="en-US"/>
        </w:rPr>
        <w:t xml:space="preserve"> Chowdhury</w:t>
      </w:r>
      <w:r>
        <w:rPr>
          <w:lang w:eastAsia="en-US"/>
        </w:rPr>
        <w:t xml:space="preserve"> for the period of his forced membership. Furthermore, Mr</w:t>
      </w:r>
      <w:r w:rsidR="00163D38">
        <w:rPr>
          <w:lang w:eastAsia="en-US"/>
        </w:rPr>
        <w:t>.</w:t>
      </w:r>
      <w:r>
        <w:rPr>
          <w:lang w:eastAsia="en-US"/>
        </w:rPr>
        <w:t xml:space="preserve"> Chowdhury’s period of affiliation with the BNP, prior to being subject to duress, </w:t>
      </w:r>
      <w:r w:rsidRPr="007363A1">
        <w:rPr>
          <w:lang w:eastAsia="en-US"/>
        </w:rPr>
        <w:t>d</w:t>
      </w:r>
      <w:r>
        <w:rPr>
          <w:lang w:eastAsia="en-US"/>
        </w:rPr>
        <w:t>id</w:t>
      </w:r>
      <w:r w:rsidRPr="007363A1">
        <w:rPr>
          <w:lang w:eastAsia="en-US"/>
        </w:rPr>
        <w:t xml:space="preserve"> not </w:t>
      </w:r>
      <w:r>
        <w:rPr>
          <w:lang w:eastAsia="en-US"/>
        </w:rPr>
        <w:t xml:space="preserve">amount to </w:t>
      </w:r>
      <w:r w:rsidRPr="007363A1">
        <w:rPr>
          <w:lang w:eastAsia="en-US"/>
        </w:rPr>
        <w:t>membership</w:t>
      </w:r>
      <w:r>
        <w:rPr>
          <w:lang w:eastAsia="en-US"/>
        </w:rPr>
        <w:t>.</w:t>
      </w:r>
    </w:p>
    <w:p w14:paraId="4E77DC32" w14:textId="14185BE5" w:rsidR="00F57831" w:rsidRDefault="00F57831" w:rsidP="005436EE">
      <w:pPr>
        <w:pStyle w:val="ListParagraph"/>
        <w:numPr>
          <w:ilvl w:val="0"/>
          <w:numId w:val="23"/>
        </w:numPr>
        <w:rPr>
          <w:b/>
          <w:bCs/>
          <w:i/>
          <w:iCs/>
        </w:rPr>
      </w:pPr>
      <w:r>
        <w:rPr>
          <w:b/>
          <w:bCs/>
          <w:i/>
          <w:iCs/>
        </w:rPr>
        <w:t>The Officer failed to assess the necessary factors in his analysis of membership</w:t>
      </w:r>
    </w:p>
    <w:p w14:paraId="058A2774" w14:textId="77777777" w:rsidR="00D30377" w:rsidRPr="00F12612" w:rsidRDefault="00D30377" w:rsidP="00D30377">
      <w:pPr>
        <w:pStyle w:val="ListParagraph"/>
        <w:ind w:left="714"/>
        <w:rPr>
          <w:b/>
          <w:bCs/>
          <w:i/>
          <w:iCs/>
        </w:rPr>
      </w:pPr>
    </w:p>
    <w:p w14:paraId="67474F51" w14:textId="77777777" w:rsidR="00F57831" w:rsidRDefault="00F57831" w:rsidP="00F57831">
      <w:pPr>
        <w:pStyle w:val="ListParagraph"/>
        <w:numPr>
          <w:ilvl w:val="0"/>
          <w:numId w:val="1"/>
        </w:numPr>
        <w:spacing w:line="480" w:lineRule="auto"/>
        <w:ind w:left="0" w:firstLine="0"/>
        <w:jc w:val="both"/>
        <w:rPr>
          <w:lang w:eastAsia="en-US"/>
        </w:rPr>
      </w:pPr>
      <w:r>
        <w:rPr>
          <w:lang w:eastAsia="en-US"/>
        </w:rPr>
        <w:t>I</w:t>
      </w:r>
      <w:r w:rsidRPr="007363A1">
        <w:rPr>
          <w:lang w:eastAsia="en-US"/>
        </w:rPr>
        <w:t xml:space="preserve">t is trite law that </w:t>
      </w:r>
      <w:r>
        <w:rPr>
          <w:lang w:eastAsia="en-US"/>
        </w:rPr>
        <w:t xml:space="preserve">the concept of </w:t>
      </w:r>
      <w:r w:rsidRPr="007363A1">
        <w:rPr>
          <w:lang w:eastAsia="en-US"/>
        </w:rPr>
        <w:t xml:space="preserve">membership </w:t>
      </w:r>
      <w:r>
        <w:rPr>
          <w:lang w:eastAsia="en-US"/>
        </w:rPr>
        <w:t>should be</w:t>
      </w:r>
      <w:r w:rsidRPr="007363A1">
        <w:rPr>
          <w:lang w:eastAsia="en-US"/>
        </w:rPr>
        <w:t xml:space="preserve"> interpreted broadly. The rationale for this is </w:t>
      </w:r>
      <w:r>
        <w:rPr>
          <w:lang w:eastAsia="en-US"/>
        </w:rPr>
        <w:t>government</w:t>
      </w:r>
      <w:r w:rsidRPr="007363A1">
        <w:rPr>
          <w:lang w:eastAsia="en-US"/>
        </w:rPr>
        <w:t xml:space="preserve"> concern for public safety and national security in the immigration context. </w:t>
      </w:r>
    </w:p>
    <w:p w14:paraId="35BAB882" w14:textId="77777777" w:rsidR="00F57831" w:rsidRDefault="00F57831" w:rsidP="00F57831">
      <w:pPr>
        <w:pStyle w:val="NormalWeb"/>
        <w:spacing w:before="0" w:beforeAutospacing="0" w:after="0" w:afterAutospacing="0"/>
        <w:ind w:left="720"/>
      </w:pPr>
      <w:r>
        <w:rPr>
          <w:i/>
          <w:iCs/>
          <w:color w:val="000000"/>
        </w:rPr>
        <w:t>Poshteh v Canada (Citizenship and Immigration),</w:t>
      </w:r>
      <w:r>
        <w:rPr>
          <w:color w:val="000000"/>
        </w:rPr>
        <w:t xml:space="preserve"> 2005 FCA 85 at paras 27-29.</w:t>
      </w:r>
    </w:p>
    <w:p w14:paraId="57452426" w14:textId="77777777" w:rsidR="00F57831" w:rsidRPr="000450B8" w:rsidRDefault="00F57831" w:rsidP="00F57831">
      <w:pPr>
        <w:pStyle w:val="NormalWeb"/>
        <w:spacing w:before="0" w:beforeAutospacing="0" w:after="0" w:afterAutospacing="0"/>
        <w:rPr>
          <w:color w:val="000000"/>
        </w:rPr>
      </w:pPr>
    </w:p>
    <w:p w14:paraId="1288A63E" w14:textId="77777777" w:rsidR="00F57831" w:rsidRPr="00BC3209" w:rsidRDefault="00F57831" w:rsidP="00F57831">
      <w:pPr>
        <w:pStyle w:val="ListParagraph"/>
        <w:numPr>
          <w:ilvl w:val="0"/>
          <w:numId w:val="1"/>
        </w:numPr>
        <w:spacing w:line="480" w:lineRule="auto"/>
        <w:ind w:left="0" w:firstLine="0"/>
        <w:jc w:val="both"/>
      </w:pPr>
      <w:r w:rsidRPr="00BC3209">
        <w:t xml:space="preserve">The standard of proof relevant to a membership determination is “reasonable grounds to believe.” This requires that evidence establish more than mere suspicion, but less than a balance of probabilities. Reasonable grounds will exist “where there is an objective basis for the belief which is based on compelling and credible information.” </w:t>
      </w:r>
    </w:p>
    <w:p w14:paraId="1F5E433C" w14:textId="18A92D55" w:rsidR="00F57831" w:rsidRPr="00BC3209" w:rsidRDefault="00F57831" w:rsidP="00F57831">
      <w:pPr>
        <w:pStyle w:val="ListParagraph"/>
        <w:rPr>
          <w:rFonts w:asciiTheme="majorBidi" w:hAnsiTheme="majorBidi" w:cstheme="majorBidi"/>
          <w:color w:val="000000"/>
        </w:rPr>
      </w:pPr>
      <w:r>
        <w:rPr>
          <w:rFonts w:asciiTheme="majorBidi" w:hAnsiTheme="majorBidi" w:cstheme="majorBidi"/>
          <w:i/>
          <w:iCs/>
          <w:color w:val="000000"/>
        </w:rPr>
        <w:t xml:space="preserve">IRPA, supra </w:t>
      </w:r>
      <w:r>
        <w:rPr>
          <w:rFonts w:asciiTheme="majorBidi" w:hAnsiTheme="majorBidi" w:cstheme="majorBidi"/>
          <w:color w:val="000000"/>
        </w:rPr>
        <w:t>para 2</w:t>
      </w:r>
      <w:r w:rsidR="00D42A51">
        <w:rPr>
          <w:rFonts w:asciiTheme="majorBidi" w:hAnsiTheme="majorBidi" w:cstheme="majorBidi"/>
          <w:color w:val="000000"/>
        </w:rPr>
        <w:t>1</w:t>
      </w:r>
      <w:r>
        <w:rPr>
          <w:rFonts w:asciiTheme="majorBidi" w:hAnsiTheme="majorBidi" w:cstheme="majorBidi"/>
          <w:color w:val="000000"/>
        </w:rPr>
        <w:t xml:space="preserve"> s 33. </w:t>
      </w:r>
    </w:p>
    <w:p w14:paraId="7E461CCD" w14:textId="77777777" w:rsidR="00F57831" w:rsidRDefault="00F57831" w:rsidP="00F57831">
      <w:pPr>
        <w:pStyle w:val="ListParagraph"/>
        <w:rPr>
          <w:rFonts w:asciiTheme="majorBidi" w:hAnsiTheme="majorBidi" w:cstheme="majorBidi"/>
          <w:color w:val="000000"/>
        </w:rPr>
      </w:pPr>
      <w:r w:rsidRPr="00BC3209">
        <w:rPr>
          <w:rFonts w:asciiTheme="majorBidi" w:hAnsiTheme="majorBidi" w:cstheme="majorBidi"/>
          <w:i/>
          <w:iCs/>
          <w:color w:val="000000"/>
        </w:rPr>
        <w:t>Mugesera v Canada (Minister of Citzienship and Immigration),</w:t>
      </w:r>
      <w:r w:rsidRPr="00BC3209">
        <w:rPr>
          <w:rFonts w:asciiTheme="majorBidi" w:hAnsiTheme="majorBidi" w:cstheme="majorBidi"/>
          <w:color w:val="000000"/>
        </w:rPr>
        <w:t xml:space="preserve"> 2005 SCC 40 at para 114.</w:t>
      </w:r>
    </w:p>
    <w:p w14:paraId="62CBD3AA" w14:textId="77777777" w:rsidR="00F57831" w:rsidRPr="00AF0FCC" w:rsidRDefault="00F57831" w:rsidP="00F57831">
      <w:pPr>
        <w:rPr>
          <w:rFonts w:asciiTheme="majorBidi" w:hAnsiTheme="majorBidi" w:cstheme="majorBidi"/>
          <w:color w:val="000000"/>
        </w:rPr>
      </w:pPr>
    </w:p>
    <w:p w14:paraId="40840FE0" w14:textId="77777777" w:rsidR="00F57831" w:rsidRDefault="00F57831" w:rsidP="00F57831">
      <w:pPr>
        <w:pStyle w:val="ListParagraph"/>
        <w:numPr>
          <w:ilvl w:val="0"/>
          <w:numId w:val="1"/>
        </w:numPr>
        <w:spacing w:line="480" w:lineRule="auto"/>
        <w:ind w:left="0" w:firstLine="0"/>
        <w:jc w:val="both"/>
      </w:pPr>
      <w:r w:rsidRPr="007363A1">
        <w:rPr>
          <w:lang w:eastAsia="en-US"/>
        </w:rPr>
        <w:t xml:space="preserve">The test for membership requires </w:t>
      </w:r>
      <w:r>
        <w:rPr>
          <w:lang w:eastAsia="en-US"/>
        </w:rPr>
        <w:t xml:space="preserve">an </w:t>
      </w:r>
      <w:r w:rsidRPr="007363A1">
        <w:rPr>
          <w:lang w:eastAsia="en-US"/>
        </w:rPr>
        <w:t>assessment of an individual’s participation in the organization</w:t>
      </w:r>
      <w:r>
        <w:rPr>
          <w:lang w:eastAsia="en-US"/>
        </w:rPr>
        <w:t>. This includes</w:t>
      </w:r>
      <w:r w:rsidRPr="007363A1">
        <w:rPr>
          <w:lang w:eastAsia="en-US"/>
        </w:rPr>
        <w:t xml:space="preserve"> consideration of three criteria: the nature of </w:t>
      </w:r>
      <w:r>
        <w:rPr>
          <w:lang w:eastAsia="en-US"/>
        </w:rPr>
        <w:t xml:space="preserve">the individual’s </w:t>
      </w:r>
      <w:r w:rsidRPr="007363A1">
        <w:rPr>
          <w:lang w:eastAsia="en-US"/>
        </w:rPr>
        <w:t xml:space="preserve">involvement, the length of time of involvement, and the degree of </w:t>
      </w:r>
      <w:r>
        <w:rPr>
          <w:lang w:eastAsia="en-US"/>
        </w:rPr>
        <w:t xml:space="preserve">the individual’s </w:t>
      </w:r>
      <w:r w:rsidRPr="007363A1">
        <w:rPr>
          <w:lang w:eastAsia="en-US"/>
        </w:rPr>
        <w:t>commitment to the organization’s goals and objectives.</w:t>
      </w:r>
      <w:r>
        <w:rPr>
          <w:lang w:eastAsia="en-US"/>
        </w:rPr>
        <w:t xml:space="preserve"> Where some factors suggest membership while other suggest the contrary, those factors must be reasonably considered and weighed. To this end, not every act of support for a group will constitute membership in that group. </w:t>
      </w:r>
    </w:p>
    <w:p w14:paraId="2561EC87" w14:textId="77777777" w:rsidR="00F57831" w:rsidRPr="00D3492C" w:rsidRDefault="00F57831" w:rsidP="00F57831">
      <w:pPr>
        <w:pStyle w:val="NormalWeb"/>
        <w:spacing w:before="0" w:beforeAutospacing="0" w:after="0" w:afterAutospacing="0"/>
        <w:ind w:left="720"/>
      </w:pPr>
      <w:r>
        <w:rPr>
          <w:i/>
          <w:iCs/>
          <w:color w:val="000000"/>
        </w:rPr>
        <w:t>B074 v Canada (Citizenship and Immigration),</w:t>
      </w:r>
      <w:r>
        <w:rPr>
          <w:color w:val="000000"/>
        </w:rPr>
        <w:t xml:space="preserve"> 2013 FC 1146 at para 29.</w:t>
      </w:r>
    </w:p>
    <w:p w14:paraId="38BBBCF4" w14:textId="77777777" w:rsidR="00F57831" w:rsidRDefault="00F57831" w:rsidP="00F57831">
      <w:pPr>
        <w:pStyle w:val="NormalWeb"/>
        <w:spacing w:before="0" w:beforeAutospacing="0" w:after="0" w:afterAutospacing="0"/>
        <w:ind w:left="720"/>
        <w:rPr>
          <w:color w:val="000000"/>
        </w:rPr>
      </w:pPr>
      <w:r>
        <w:rPr>
          <w:i/>
          <w:iCs/>
          <w:color w:val="000000"/>
        </w:rPr>
        <w:t>Krishnamoorthy v Canada (Citizenship and Immigration),</w:t>
      </w:r>
      <w:r>
        <w:rPr>
          <w:color w:val="000000"/>
        </w:rPr>
        <w:t xml:space="preserve"> 2011 FC 1342 at para 23.</w:t>
      </w:r>
    </w:p>
    <w:p w14:paraId="154CA22D" w14:textId="77777777" w:rsidR="00F57831" w:rsidRDefault="00F57831" w:rsidP="00F57831">
      <w:pPr>
        <w:pStyle w:val="NormalWeb"/>
        <w:spacing w:before="0" w:beforeAutospacing="0" w:after="0" w:afterAutospacing="0"/>
        <w:ind w:left="720"/>
        <w:rPr>
          <w:lang w:eastAsia="en-US"/>
        </w:rPr>
      </w:pPr>
    </w:p>
    <w:p w14:paraId="37F66167" w14:textId="3C6187F6" w:rsidR="00F57831" w:rsidRDefault="00F57831" w:rsidP="00F57831">
      <w:pPr>
        <w:pStyle w:val="ListParagraph"/>
        <w:numPr>
          <w:ilvl w:val="0"/>
          <w:numId w:val="1"/>
        </w:numPr>
        <w:spacing w:line="480" w:lineRule="auto"/>
        <w:ind w:left="0" w:firstLine="0"/>
        <w:jc w:val="both"/>
        <w:rPr>
          <w:lang w:eastAsia="en-US"/>
        </w:rPr>
      </w:pPr>
      <w:r>
        <w:rPr>
          <w:lang w:eastAsia="en-US"/>
        </w:rPr>
        <w:t xml:space="preserve">Failure to consider the requisite criteria of membership renders a decision unreasonable. For instance, in </w:t>
      </w:r>
      <w:r>
        <w:rPr>
          <w:i/>
          <w:iCs/>
          <w:lang w:eastAsia="en-US"/>
        </w:rPr>
        <w:t>Helal</w:t>
      </w:r>
      <w:r>
        <w:rPr>
          <w:lang w:eastAsia="en-US"/>
        </w:rPr>
        <w:t>, the Officer erred in holding that the applicant, a 3-year web administrator for certain organizations, was a member pursuant to s</w:t>
      </w:r>
      <w:r w:rsidR="00163D38">
        <w:rPr>
          <w:lang w:eastAsia="en-US"/>
        </w:rPr>
        <w:t>.</w:t>
      </w:r>
      <w:r>
        <w:rPr>
          <w:lang w:eastAsia="en-US"/>
        </w:rPr>
        <w:t xml:space="preserve"> 34(1)(f). The Court noted that in failing to assess the applicant’s commitment to the organizations, the Officer failed to consider “arguably the most important of the factors to consider in the circumstances.” </w:t>
      </w:r>
    </w:p>
    <w:p w14:paraId="02038A15" w14:textId="77777777" w:rsidR="00F57831" w:rsidRDefault="00F57831" w:rsidP="00F57831">
      <w:pPr>
        <w:pStyle w:val="ListParagraph"/>
        <w:spacing w:line="480" w:lineRule="auto"/>
        <w:ind w:left="0" w:firstLine="720"/>
        <w:jc w:val="both"/>
      </w:pPr>
      <w:r w:rsidRPr="004B1BF6">
        <w:rPr>
          <w:i/>
          <w:iCs/>
          <w:lang w:eastAsia="en-US"/>
        </w:rPr>
        <w:t>Helal v Canada (Citizienship and Immigration),</w:t>
      </w:r>
      <w:r>
        <w:rPr>
          <w:lang w:eastAsia="en-US"/>
        </w:rPr>
        <w:t xml:space="preserve"> 2019 FC 37 at para 29 [</w:t>
      </w:r>
      <w:r w:rsidRPr="00AF0FCC">
        <w:rPr>
          <w:i/>
          <w:iCs/>
          <w:lang w:eastAsia="en-US"/>
        </w:rPr>
        <w:t>Helal</w:t>
      </w:r>
      <w:r>
        <w:rPr>
          <w:lang w:eastAsia="en-US"/>
        </w:rPr>
        <w:t>].</w:t>
      </w:r>
    </w:p>
    <w:p w14:paraId="5CD4FD0D" w14:textId="755577EC" w:rsidR="00F57831" w:rsidRDefault="00F57831" w:rsidP="00F57831">
      <w:pPr>
        <w:pStyle w:val="ListParagraph"/>
        <w:numPr>
          <w:ilvl w:val="0"/>
          <w:numId w:val="1"/>
        </w:numPr>
        <w:spacing w:line="480" w:lineRule="auto"/>
        <w:ind w:left="0" w:firstLine="0"/>
        <w:jc w:val="both"/>
        <w:rPr>
          <w:lang w:eastAsia="en-US"/>
        </w:rPr>
      </w:pPr>
      <w:r>
        <w:rPr>
          <w:lang w:eastAsia="en-US"/>
        </w:rPr>
        <w:t>In this case, the officer made a similarly reviewable error by failing to assess Mr</w:t>
      </w:r>
      <w:r w:rsidR="00163D38">
        <w:rPr>
          <w:lang w:eastAsia="en-US"/>
        </w:rPr>
        <w:t>.</w:t>
      </w:r>
      <w:r>
        <w:rPr>
          <w:lang w:eastAsia="en-US"/>
        </w:rPr>
        <w:t xml:space="preserve"> Chowdhury’s level of commitment to the BNP’s goals and objectives. </w:t>
      </w:r>
    </w:p>
    <w:p w14:paraId="71FCC91E" w14:textId="2BE4DC98" w:rsidR="00F57831" w:rsidRDefault="00F57831" w:rsidP="00F57831">
      <w:pPr>
        <w:pStyle w:val="ListParagraph"/>
        <w:numPr>
          <w:ilvl w:val="0"/>
          <w:numId w:val="1"/>
        </w:numPr>
        <w:spacing w:line="480" w:lineRule="auto"/>
        <w:ind w:left="0" w:firstLine="0"/>
        <w:jc w:val="both"/>
        <w:rPr>
          <w:lang w:eastAsia="en-US"/>
        </w:rPr>
      </w:pPr>
      <w:r>
        <w:rPr>
          <w:lang w:eastAsia="en-US"/>
        </w:rPr>
        <w:t>There is insufficient evidence on record to demonstrate that the BNP seeks to achieve violent and subversive objectives. Even if the Court finds sufficient evidence of such objectives, the evidence makes clear that Mr</w:t>
      </w:r>
      <w:r w:rsidR="00163D38">
        <w:rPr>
          <w:lang w:eastAsia="en-US"/>
        </w:rPr>
        <w:t>.</w:t>
      </w:r>
      <w:r>
        <w:rPr>
          <w:lang w:eastAsia="en-US"/>
        </w:rPr>
        <w:t xml:space="preserve"> Chowdhury did not share those objectives, and nor did he demonstrate any commitment to such objectives through his acts. In fact, Mr</w:t>
      </w:r>
      <w:r w:rsidR="00163D38">
        <w:rPr>
          <w:lang w:eastAsia="en-US"/>
        </w:rPr>
        <w:t>.</w:t>
      </w:r>
      <w:r>
        <w:rPr>
          <w:lang w:eastAsia="en-US"/>
        </w:rPr>
        <w:t xml:space="preserve"> Chowdhury demonstrated the opposite. </w:t>
      </w:r>
    </w:p>
    <w:p w14:paraId="09BC7C3D" w14:textId="4ED2EED9" w:rsidR="00F57831" w:rsidRDefault="00F57831" w:rsidP="00F57831">
      <w:pPr>
        <w:pStyle w:val="ListParagraph"/>
        <w:numPr>
          <w:ilvl w:val="0"/>
          <w:numId w:val="1"/>
        </w:numPr>
        <w:spacing w:line="480" w:lineRule="auto"/>
        <w:ind w:left="0" w:firstLine="0"/>
        <w:jc w:val="both"/>
        <w:rPr>
          <w:lang w:eastAsia="en-US"/>
        </w:rPr>
      </w:pPr>
      <w:r>
        <w:rPr>
          <w:lang w:eastAsia="en-US"/>
        </w:rPr>
        <w:t>First, Mr</w:t>
      </w:r>
      <w:r w:rsidR="00163D38">
        <w:rPr>
          <w:lang w:eastAsia="en-US"/>
        </w:rPr>
        <w:t>.</w:t>
      </w:r>
      <w:r>
        <w:rPr>
          <w:lang w:eastAsia="en-US"/>
        </w:rPr>
        <w:t xml:space="preserve"> Chowdhury has been steadfast in his commitment to non-violence and human rights protection. This is evident from his work directing a women’s rights organization, promoting gender equality, and combatting violence against women and children. Mr</w:t>
      </w:r>
      <w:r w:rsidR="00163D38">
        <w:rPr>
          <w:lang w:eastAsia="en-US"/>
        </w:rPr>
        <w:t>.</w:t>
      </w:r>
      <w:r>
        <w:rPr>
          <w:lang w:eastAsia="en-US"/>
        </w:rPr>
        <w:t xml:space="preserve"> Chowdhury championed these causes</w:t>
      </w:r>
      <w:r w:rsidDel="004E0C91">
        <w:rPr>
          <w:lang w:eastAsia="en-US"/>
        </w:rPr>
        <w:t xml:space="preserve"> </w:t>
      </w:r>
      <w:r>
        <w:rPr>
          <w:lang w:eastAsia="en-US"/>
        </w:rPr>
        <w:t xml:space="preserve">despite being threatened by Muslim fundamentalists. </w:t>
      </w:r>
    </w:p>
    <w:p w14:paraId="1EF6D8D9" w14:textId="77777777" w:rsidR="00F57831" w:rsidRDefault="00F57831" w:rsidP="00F57831">
      <w:pPr>
        <w:pStyle w:val="ListParagraph"/>
        <w:spacing w:line="480" w:lineRule="auto"/>
        <w:ind w:left="0" w:firstLine="720"/>
        <w:jc w:val="both"/>
        <w:rPr>
          <w:lang w:eastAsia="en-US"/>
        </w:rPr>
      </w:pPr>
      <w:r>
        <w:rPr>
          <w:lang w:eastAsia="en-US"/>
        </w:rPr>
        <w:t>Officer’s reasons at para 5.</w:t>
      </w:r>
    </w:p>
    <w:p w14:paraId="7EE9C882" w14:textId="16AD0F97" w:rsidR="00F57831" w:rsidRDefault="00F57831" w:rsidP="00F57831">
      <w:pPr>
        <w:pStyle w:val="ListParagraph"/>
        <w:numPr>
          <w:ilvl w:val="0"/>
          <w:numId w:val="1"/>
        </w:numPr>
        <w:spacing w:line="480" w:lineRule="auto"/>
        <w:ind w:left="0" w:firstLine="0"/>
        <w:jc w:val="both"/>
        <w:rPr>
          <w:lang w:eastAsia="en-US"/>
        </w:rPr>
      </w:pPr>
      <w:r>
        <w:rPr>
          <w:lang w:eastAsia="en-US"/>
        </w:rPr>
        <w:t>Second, Mr</w:t>
      </w:r>
      <w:r w:rsidR="00163D38">
        <w:rPr>
          <w:lang w:eastAsia="en-US"/>
        </w:rPr>
        <w:t>.</w:t>
      </w:r>
      <w:r>
        <w:rPr>
          <w:lang w:eastAsia="en-US"/>
        </w:rPr>
        <w:t xml:space="preserve"> Chowdhury has been steadfast in advocating for democratic principles. Mr</w:t>
      </w:r>
      <w:r w:rsidR="00163D38">
        <w:rPr>
          <w:lang w:eastAsia="en-US"/>
        </w:rPr>
        <w:t>.</w:t>
      </w:r>
      <w:r>
        <w:rPr>
          <w:lang w:eastAsia="en-US"/>
        </w:rPr>
        <w:t xml:space="preserve"> Chowdhury’s first period of affiliation with the BNP, from 2011 to </w:t>
      </w:r>
      <w:r w:rsidR="004D50BE">
        <w:rPr>
          <w:lang w:eastAsia="en-US"/>
        </w:rPr>
        <w:t>November</w:t>
      </w:r>
      <w:r>
        <w:rPr>
          <w:lang w:eastAsia="en-US"/>
        </w:rPr>
        <w:t xml:space="preserve"> 2013, was a product of his desire to support democracy in Bangladesh. His activities in this period consisted of handing out pamphlets on the right to vote, and signing up and encouraging people to vote. </w:t>
      </w:r>
    </w:p>
    <w:p w14:paraId="69BE0E99" w14:textId="14A0C268" w:rsidR="00F57831" w:rsidRDefault="00F57831" w:rsidP="00F57831">
      <w:pPr>
        <w:pStyle w:val="ListParagraph"/>
        <w:spacing w:line="480" w:lineRule="auto"/>
        <w:jc w:val="both"/>
      </w:pPr>
      <w:r>
        <w:t>Officer’s reasons at para 16.</w:t>
      </w:r>
    </w:p>
    <w:p w14:paraId="3B42E8A9" w14:textId="7EC16925" w:rsidR="00F57831" w:rsidRDefault="00F57831" w:rsidP="00F57831">
      <w:pPr>
        <w:pStyle w:val="ListParagraph"/>
        <w:numPr>
          <w:ilvl w:val="0"/>
          <w:numId w:val="1"/>
        </w:numPr>
        <w:spacing w:line="480" w:lineRule="auto"/>
        <w:ind w:left="0" w:firstLine="0"/>
        <w:jc w:val="both"/>
        <w:rPr>
          <w:lang w:eastAsia="en-US"/>
        </w:rPr>
      </w:pPr>
      <w:r>
        <w:rPr>
          <w:lang w:eastAsia="en-US"/>
        </w:rPr>
        <w:t>Finally, Mr</w:t>
      </w:r>
      <w:r w:rsidR="00163D38">
        <w:rPr>
          <w:lang w:eastAsia="en-US"/>
        </w:rPr>
        <w:t>.</w:t>
      </w:r>
      <w:r>
        <w:rPr>
          <w:lang w:eastAsia="en-US"/>
        </w:rPr>
        <w:t xml:space="preserve"> Chowdhury has been steadfast in advocating for non-violence. Mr</w:t>
      </w:r>
      <w:r w:rsidR="00163D38">
        <w:rPr>
          <w:lang w:eastAsia="en-US"/>
        </w:rPr>
        <w:t>.</w:t>
      </w:r>
      <w:r>
        <w:rPr>
          <w:lang w:eastAsia="en-US"/>
        </w:rPr>
        <w:t xml:space="preserve"> Chowdhury only became a formal member of the BNP in December 2013, against his will. A senior BNP official threatened to expose Mr</w:t>
      </w:r>
      <w:r w:rsidR="00163D38">
        <w:rPr>
          <w:lang w:eastAsia="en-US"/>
        </w:rPr>
        <w:t>.</w:t>
      </w:r>
      <w:r>
        <w:rPr>
          <w:lang w:eastAsia="en-US"/>
        </w:rPr>
        <w:t xml:space="preserve"> Chowdhury’s sexuality if he refused to be a member. The threats against him were serious, and made worse due to homophobic social norms in Bangladesh and Mr</w:t>
      </w:r>
      <w:r w:rsidR="00163D38">
        <w:rPr>
          <w:lang w:eastAsia="en-US"/>
        </w:rPr>
        <w:t>.</w:t>
      </w:r>
      <w:r>
        <w:rPr>
          <w:lang w:eastAsia="en-US"/>
        </w:rPr>
        <w:t xml:space="preserve"> Chowdhury’s fear of losing his son should his wife find out. Despite these ongoing threats, Mr</w:t>
      </w:r>
      <w:r w:rsidR="00163D38">
        <w:rPr>
          <w:lang w:eastAsia="en-US"/>
        </w:rPr>
        <w:t>.</w:t>
      </w:r>
      <w:r>
        <w:rPr>
          <w:lang w:eastAsia="en-US"/>
        </w:rPr>
        <w:t xml:space="preserve"> Chowdhury resigned his membership in February 2014 due to the violence of the January 2014 general elections. Of note, Mr</w:t>
      </w:r>
      <w:r w:rsidR="00163D38">
        <w:rPr>
          <w:lang w:eastAsia="en-US"/>
        </w:rPr>
        <w:t>.</w:t>
      </w:r>
      <w:r>
        <w:rPr>
          <w:lang w:eastAsia="en-US"/>
        </w:rPr>
        <w:t xml:space="preserve"> Chowdhury did not participate in preparations for the election, nor was he involved in any election day activities. Mr</w:t>
      </w:r>
      <w:r w:rsidR="00163D38">
        <w:rPr>
          <w:lang w:eastAsia="en-US"/>
        </w:rPr>
        <w:t>.</w:t>
      </w:r>
      <w:r>
        <w:rPr>
          <w:lang w:eastAsia="en-US"/>
        </w:rPr>
        <w:t xml:space="preserve"> Chowdhury’s commitment to non-violence is made all the more clear by the fact that he resigned in the face of threats.</w:t>
      </w:r>
    </w:p>
    <w:p w14:paraId="10E47683" w14:textId="5CD4C62E" w:rsidR="00F57831" w:rsidRDefault="00F57831" w:rsidP="00F57831">
      <w:pPr>
        <w:spacing w:line="480" w:lineRule="auto"/>
        <w:ind w:firstLine="720"/>
        <w:jc w:val="both"/>
      </w:pPr>
      <w:r>
        <w:t>Officer’s reasons at paras 17</w:t>
      </w:r>
      <w:r w:rsidR="00D42A51">
        <w:t xml:space="preserve">, </w:t>
      </w:r>
      <w:r>
        <w:t>18.</w:t>
      </w:r>
    </w:p>
    <w:p w14:paraId="27A32E46" w14:textId="764ECEB8" w:rsidR="00F57831" w:rsidRDefault="00F57831" w:rsidP="00F57831">
      <w:pPr>
        <w:pStyle w:val="ListParagraph"/>
        <w:numPr>
          <w:ilvl w:val="0"/>
          <w:numId w:val="1"/>
        </w:numPr>
        <w:spacing w:line="480" w:lineRule="auto"/>
        <w:ind w:left="0" w:firstLine="0"/>
        <w:jc w:val="both"/>
      </w:pPr>
      <w:r>
        <w:rPr>
          <w:lang w:eastAsia="en-US"/>
        </w:rPr>
        <w:t>It was pertinent to Mr</w:t>
      </w:r>
      <w:r w:rsidR="00163D38">
        <w:rPr>
          <w:lang w:eastAsia="en-US"/>
        </w:rPr>
        <w:t>.</w:t>
      </w:r>
      <w:r>
        <w:rPr>
          <w:lang w:eastAsia="en-US"/>
        </w:rPr>
        <w:t xml:space="preserve"> Chowdhury’s membership determination that he was not committed to the goals and objectives of the BNP. It was unreasonable for the Officer to fail to consider this factor in an assessment of membership under s</w:t>
      </w:r>
      <w:r w:rsidR="00591DCE">
        <w:rPr>
          <w:lang w:eastAsia="en-US"/>
        </w:rPr>
        <w:t>.</w:t>
      </w:r>
      <w:r>
        <w:rPr>
          <w:lang w:eastAsia="en-US"/>
        </w:rPr>
        <w:t xml:space="preserve"> 34(1)(f).  </w:t>
      </w:r>
    </w:p>
    <w:p w14:paraId="3A32ED20" w14:textId="5586227C" w:rsidR="00F57831" w:rsidRDefault="00F57831" w:rsidP="00F57831">
      <w:pPr>
        <w:pStyle w:val="ListParagraph"/>
        <w:numPr>
          <w:ilvl w:val="0"/>
          <w:numId w:val="1"/>
        </w:numPr>
        <w:spacing w:line="480" w:lineRule="auto"/>
        <w:ind w:left="0" w:firstLine="0"/>
        <w:jc w:val="both"/>
      </w:pPr>
      <w:r>
        <w:rPr>
          <w:lang w:eastAsia="en-US"/>
        </w:rPr>
        <w:t>Furthermore, it was pertinent to the membership determination that Mr. Chowdhury did not intend to become a member of the BNP. In assessing membership, courts have considered the intent and purpose behind contributions to an organization as relevant factors</w:t>
      </w:r>
      <w:r w:rsidRPr="007363A1">
        <w:rPr>
          <w:lang w:eastAsia="en-US"/>
        </w:rPr>
        <w:t>. A genuine member is, at a minimum, someone who intentionally carries out acts in furtherance of the organization’s goals. This requires that membership “rest on indicia that the person’s intentions were consonant with the group’s objects.”</w:t>
      </w:r>
      <w:r>
        <w:rPr>
          <w:lang w:eastAsia="en-US"/>
        </w:rPr>
        <w:t xml:space="preserve"> Whether Mr</w:t>
      </w:r>
      <w:r w:rsidR="00163D38">
        <w:rPr>
          <w:lang w:eastAsia="en-US"/>
        </w:rPr>
        <w:t>.</w:t>
      </w:r>
      <w:r>
        <w:rPr>
          <w:lang w:eastAsia="en-US"/>
        </w:rPr>
        <w:t xml:space="preserve"> Chowdhury was acting under duress or coercion is directly relevant to the question of his intent and purpose.</w:t>
      </w:r>
    </w:p>
    <w:p w14:paraId="4EBFB938" w14:textId="04956D43" w:rsidR="00F57831" w:rsidRDefault="00F57831" w:rsidP="00F57831">
      <w:pPr>
        <w:pStyle w:val="NormalWeb"/>
        <w:spacing w:before="0" w:beforeAutospacing="0" w:after="0" w:afterAutospacing="0"/>
        <w:ind w:left="720"/>
        <w:rPr>
          <w:color w:val="000000"/>
        </w:rPr>
      </w:pPr>
      <w:r>
        <w:rPr>
          <w:i/>
          <w:iCs/>
          <w:color w:val="000000"/>
        </w:rPr>
        <w:t>Jalloh v Canada (Public Safety and Emergency Preparedness)</w:t>
      </w:r>
      <w:r>
        <w:rPr>
          <w:color w:val="000000"/>
        </w:rPr>
        <w:t>, 2012 FC 317 at paras 37-38 [</w:t>
      </w:r>
      <w:r w:rsidRPr="00BC3209">
        <w:rPr>
          <w:i/>
          <w:iCs/>
          <w:color w:val="000000"/>
        </w:rPr>
        <w:t>Jalloh</w:t>
      </w:r>
      <w:r>
        <w:rPr>
          <w:color w:val="000000"/>
        </w:rPr>
        <w:t>].</w:t>
      </w:r>
    </w:p>
    <w:p w14:paraId="738D546A" w14:textId="77777777" w:rsidR="00F12612" w:rsidRPr="00AF0FCC" w:rsidRDefault="00F12612" w:rsidP="00F57831">
      <w:pPr>
        <w:pStyle w:val="NormalWeb"/>
        <w:spacing w:before="0" w:beforeAutospacing="0" w:after="0" w:afterAutospacing="0"/>
        <w:ind w:left="720"/>
        <w:rPr>
          <w:color w:val="000000"/>
        </w:rPr>
      </w:pPr>
    </w:p>
    <w:p w14:paraId="2C3175F5" w14:textId="15E5D819" w:rsidR="00F57831" w:rsidRDefault="00F57831" w:rsidP="005436EE">
      <w:pPr>
        <w:pStyle w:val="ListParagraph"/>
        <w:numPr>
          <w:ilvl w:val="0"/>
          <w:numId w:val="23"/>
        </w:numPr>
        <w:rPr>
          <w:b/>
          <w:bCs/>
          <w:i/>
          <w:iCs/>
        </w:rPr>
      </w:pPr>
      <w:r w:rsidRPr="00AF0FCC">
        <w:rPr>
          <w:b/>
          <w:bCs/>
          <w:i/>
          <w:iCs/>
        </w:rPr>
        <w:t>Mr</w:t>
      </w:r>
      <w:r w:rsidR="00163D38">
        <w:rPr>
          <w:b/>
          <w:bCs/>
          <w:i/>
          <w:iCs/>
        </w:rPr>
        <w:t>.</w:t>
      </w:r>
      <w:r w:rsidRPr="00AF0FCC">
        <w:rPr>
          <w:b/>
          <w:bCs/>
          <w:i/>
          <w:iCs/>
        </w:rPr>
        <w:t xml:space="preserve"> Chowdhury’s activities in the first period do not amount to membership</w:t>
      </w:r>
    </w:p>
    <w:p w14:paraId="4E3B1B29" w14:textId="77777777" w:rsidR="00D30377" w:rsidRPr="00AF0FCC" w:rsidRDefault="00D30377" w:rsidP="00D30377">
      <w:pPr>
        <w:pStyle w:val="ListParagraph"/>
        <w:ind w:left="714"/>
        <w:rPr>
          <w:b/>
          <w:bCs/>
          <w:i/>
          <w:iCs/>
        </w:rPr>
      </w:pPr>
    </w:p>
    <w:p w14:paraId="0086FEF7" w14:textId="5E16583C" w:rsidR="00F57831" w:rsidRDefault="00F57831" w:rsidP="00F57831">
      <w:pPr>
        <w:pStyle w:val="ListParagraph"/>
        <w:numPr>
          <w:ilvl w:val="0"/>
          <w:numId w:val="1"/>
        </w:numPr>
        <w:spacing w:line="480" w:lineRule="auto"/>
        <w:ind w:left="0" w:firstLine="0"/>
        <w:jc w:val="both"/>
        <w:rPr>
          <w:lang w:eastAsia="en-US"/>
        </w:rPr>
      </w:pPr>
      <w:r>
        <w:rPr>
          <w:lang w:eastAsia="en-US"/>
        </w:rPr>
        <w:t xml:space="preserve">The </w:t>
      </w:r>
      <w:r w:rsidRPr="007363A1">
        <w:rPr>
          <w:lang w:eastAsia="en-US"/>
        </w:rPr>
        <w:t>evidence demonstrates that Mr</w:t>
      </w:r>
      <w:r>
        <w:rPr>
          <w:lang w:eastAsia="en-US"/>
        </w:rPr>
        <w:t>.</w:t>
      </w:r>
      <w:r w:rsidRPr="007363A1">
        <w:rPr>
          <w:lang w:eastAsia="en-US"/>
        </w:rPr>
        <w:t xml:space="preserve"> Chowdhury’s </w:t>
      </w:r>
      <w:r>
        <w:rPr>
          <w:lang w:eastAsia="en-US"/>
        </w:rPr>
        <w:t>affiliation</w:t>
      </w:r>
      <w:r w:rsidRPr="007363A1">
        <w:rPr>
          <w:lang w:eastAsia="en-US"/>
        </w:rPr>
        <w:t xml:space="preserve"> with the BNP between 2011 and </w:t>
      </w:r>
      <w:r w:rsidR="00F31B11">
        <w:rPr>
          <w:lang w:eastAsia="en-US"/>
        </w:rPr>
        <w:t>November</w:t>
      </w:r>
      <w:r w:rsidRPr="007363A1">
        <w:rPr>
          <w:lang w:eastAsia="en-US"/>
        </w:rPr>
        <w:t xml:space="preserve"> 2013 did not rise to the level of membership.</w:t>
      </w:r>
      <w:r>
        <w:rPr>
          <w:lang w:eastAsia="en-US"/>
        </w:rPr>
        <w:t xml:space="preserve"> </w:t>
      </w:r>
    </w:p>
    <w:p w14:paraId="55EFFDBB" w14:textId="77777777" w:rsidR="00F57831" w:rsidRDefault="00F57831" w:rsidP="00F57831">
      <w:pPr>
        <w:pStyle w:val="ListParagraph"/>
        <w:numPr>
          <w:ilvl w:val="0"/>
          <w:numId w:val="1"/>
        </w:numPr>
        <w:spacing w:line="480" w:lineRule="auto"/>
        <w:ind w:left="0" w:firstLine="0"/>
        <w:jc w:val="both"/>
        <w:rPr>
          <w:lang w:eastAsia="en-US"/>
        </w:rPr>
      </w:pPr>
      <w:r>
        <w:rPr>
          <w:lang w:eastAsia="en-US"/>
        </w:rPr>
        <w:t xml:space="preserve">While it is true that formal membership is not required to establish membership, there must be evidence of an “institutional link” with, or “knowing participation” in, the group’s activities. </w:t>
      </w:r>
    </w:p>
    <w:p w14:paraId="72E5CB05" w14:textId="77777777" w:rsidR="00F57831" w:rsidRDefault="00F57831" w:rsidP="00F57831">
      <w:pPr>
        <w:pStyle w:val="NormalWeb"/>
        <w:spacing w:before="0" w:beforeAutospacing="0" w:after="0" w:afterAutospacing="0"/>
        <w:ind w:left="720"/>
        <w:rPr>
          <w:color w:val="000000"/>
        </w:rPr>
      </w:pPr>
      <w:r>
        <w:rPr>
          <w:i/>
          <w:iCs/>
          <w:color w:val="000000"/>
        </w:rPr>
        <w:t xml:space="preserve">Sinnaiah v Canada (Citizenship and Immigration), </w:t>
      </w:r>
      <w:r>
        <w:rPr>
          <w:color w:val="000000"/>
        </w:rPr>
        <w:t>2004 FC 1576 at para 6.</w:t>
      </w:r>
    </w:p>
    <w:p w14:paraId="74AA6D2F" w14:textId="77777777" w:rsidR="00F57831" w:rsidRPr="007A315C" w:rsidRDefault="00F57831" w:rsidP="00F57831">
      <w:pPr>
        <w:pStyle w:val="NormalWeb"/>
        <w:spacing w:before="0" w:beforeAutospacing="0" w:after="0" w:afterAutospacing="0"/>
        <w:ind w:left="720"/>
        <w:rPr>
          <w:color w:val="000000"/>
        </w:rPr>
      </w:pPr>
    </w:p>
    <w:p w14:paraId="492B9358" w14:textId="1CDE122B" w:rsidR="00F57831" w:rsidRDefault="00F57831" w:rsidP="00F57831">
      <w:pPr>
        <w:pStyle w:val="ListParagraph"/>
        <w:numPr>
          <w:ilvl w:val="0"/>
          <w:numId w:val="1"/>
        </w:numPr>
        <w:spacing w:line="480" w:lineRule="auto"/>
        <w:ind w:left="0" w:firstLine="0"/>
        <w:jc w:val="both"/>
        <w:rPr>
          <w:lang w:eastAsia="en-US"/>
        </w:rPr>
      </w:pPr>
      <w:r>
        <w:rPr>
          <w:lang w:eastAsia="en-US"/>
        </w:rPr>
        <w:t>Mr</w:t>
      </w:r>
      <w:r w:rsidR="00163D38">
        <w:rPr>
          <w:lang w:eastAsia="en-US"/>
        </w:rPr>
        <w:t>.</w:t>
      </w:r>
      <w:r>
        <w:rPr>
          <w:lang w:eastAsia="en-US"/>
        </w:rPr>
        <w:t xml:space="preserve"> Chowdhury’s activities in the first period do not establish such a connection to the BNP. Between 2011 and</w:t>
      </w:r>
      <w:r w:rsidR="00653DED">
        <w:rPr>
          <w:lang w:eastAsia="en-US"/>
        </w:rPr>
        <w:t xml:space="preserve"> </w:t>
      </w:r>
      <w:r w:rsidR="00F31B11">
        <w:rPr>
          <w:lang w:eastAsia="en-US"/>
        </w:rPr>
        <w:t>November</w:t>
      </w:r>
      <w:r>
        <w:rPr>
          <w:lang w:eastAsia="en-US"/>
        </w:rPr>
        <w:t xml:space="preserve"> 2013, Mr</w:t>
      </w:r>
      <w:r w:rsidR="00163D38">
        <w:rPr>
          <w:lang w:eastAsia="en-US"/>
        </w:rPr>
        <w:t>.</w:t>
      </w:r>
      <w:r>
        <w:rPr>
          <w:lang w:eastAsia="en-US"/>
        </w:rPr>
        <w:t xml:space="preserve"> Chowdhury encouraged people to vote and handed out pamphlets on the right to vote. These activities were not specific to any political party. Educating and encouraging people to vote is a normal activity to carry out in the context of an election in a democratic country. That some of those people later joined the BNP as affiliates or members is only incidental to Mr</w:t>
      </w:r>
      <w:r w:rsidR="00163D38">
        <w:rPr>
          <w:lang w:eastAsia="en-US"/>
        </w:rPr>
        <w:t>.</w:t>
      </w:r>
      <w:r>
        <w:rPr>
          <w:lang w:eastAsia="en-US"/>
        </w:rPr>
        <w:t xml:space="preserve"> Chowdhury’s actual activity. </w:t>
      </w:r>
    </w:p>
    <w:p w14:paraId="27C066C5" w14:textId="733C79EA" w:rsidR="00F57831" w:rsidRDefault="00F57831" w:rsidP="00F57831">
      <w:pPr>
        <w:pStyle w:val="ListParagraph"/>
        <w:spacing w:line="480" w:lineRule="auto"/>
        <w:jc w:val="both"/>
        <w:rPr>
          <w:lang w:eastAsia="en-US"/>
        </w:rPr>
      </w:pPr>
      <w:r>
        <w:rPr>
          <w:lang w:eastAsia="en-US"/>
        </w:rPr>
        <w:t>Officer’s reasons at para</w:t>
      </w:r>
      <w:r w:rsidR="00653DED">
        <w:rPr>
          <w:lang w:eastAsia="en-US"/>
        </w:rPr>
        <w:t>s</w:t>
      </w:r>
      <w:r>
        <w:rPr>
          <w:lang w:eastAsia="en-US"/>
        </w:rPr>
        <w:t xml:space="preserve"> </w:t>
      </w:r>
      <w:r w:rsidR="00653DED">
        <w:rPr>
          <w:lang w:eastAsia="en-US"/>
        </w:rPr>
        <w:t>15-</w:t>
      </w:r>
      <w:r>
        <w:rPr>
          <w:lang w:eastAsia="en-US"/>
        </w:rPr>
        <w:t>16.</w:t>
      </w:r>
    </w:p>
    <w:p w14:paraId="1B335834" w14:textId="0C2B6D02" w:rsidR="00F57831" w:rsidRDefault="00F57831" w:rsidP="00F57831">
      <w:pPr>
        <w:pStyle w:val="ListParagraph"/>
        <w:numPr>
          <w:ilvl w:val="0"/>
          <w:numId w:val="1"/>
        </w:numPr>
        <w:spacing w:line="480" w:lineRule="auto"/>
        <w:ind w:left="0" w:firstLine="0"/>
        <w:jc w:val="both"/>
        <w:rPr>
          <w:lang w:eastAsia="en-US"/>
        </w:rPr>
      </w:pPr>
      <w:r>
        <w:rPr>
          <w:lang w:eastAsia="en-US"/>
        </w:rPr>
        <w:t>The fact that Mr</w:t>
      </w:r>
      <w:r w:rsidR="00163D38">
        <w:rPr>
          <w:lang w:eastAsia="en-US"/>
        </w:rPr>
        <w:t>.</w:t>
      </w:r>
      <w:r>
        <w:rPr>
          <w:lang w:eastAsia="en-US"/>
        </w:rPr>
        <w:t xml:space="preserve"> Chowdhury’s activities may have incidentally provided some material support to the BNP in the form of new members does not work to establish his membership. Absent an individual’s purpose to enhance the organization’s ability to carry out its activity, the mere assertion that material support was provided to an organization is not sufficient to ground membership. </w:t>
      </w:r>
    </w:p>
    <w:p w14:paraId="1BCB850E" w14:textId="77777777" w:rsidR="00F57831" w:rsidRDefault="00F57831" w:rsidP="00F57831">
      <w:pPr>
        <w:ind w:left="720"/>
        <w:jc w:val="both"/>
        <w:rPr>
          <w:lang w:eastAsia="en-US"/>
        </w:rPr>
      </w:pPr>
      <w:r w:rsidRPr="007A315C">
        <w:rPr>
          <w:i/>
          <w:iCs/>
          <w:lang w:eastAsia="en-US"/>
        </w:rPr>
        <w:t>Toronto Coalition to Stop the War v Canada</w:t>
      </w:r>
      <w:r>
        <w:rPr>
          <w:i/>
          <w:iCs/>
          <w:lang w:eastAsia="en-US"/>
        </w:rPr>
        <w:t xml:space="preserve"> (Public Safety and Emergency Preparedness)</w:t>
      </w:r>
      <w:r w:rsidRPr="007A315C">
        <w:rPr>
          <w:i/>
          <w:iCs/>
          <w:lang w:eastAsia="en-US"/>
        </w:rPr>
        <w:t>,</w:t>
      </w:r>
      <w:r>
        <w:rPr>
          <w:lang w:eastAsia="en-US"/>
        </w:rPr>
        <w:t xml:space="preserve"> 2010 FC 957 at para 110.</w:t>
      </w:r>
    </w:p>
    <w:p w14:paraId="69BC2C78" w14:textId="77777777" w:rsidR="00F57831" w:rsidRDefault="00F57831" w:rsidP="00F57831">
      <w:pPr>
        <w:jc w:val="both"/>
        <w:rPr>
          <w:lang w:eastAsia="en-US"/>
        </w:rPr>
      </w:pPr>
    </w:p>
    <w:p w14:paraId="7302F53F" w14:textId="79019108" w:rsidR="00F57831" w:rsidRDefault="00F57831" w:rsidP="005436EE">
      <w:pPr>
        <w:pStyle w:val="ListParagraph"/>
        <w:numPr>
          <w:ilvl w:val="0"/>
          <w:numId w:val="23"/>
        </w:numPr>
        <w:rPr>
          <w:b/>
          <w:bCs/>
          <w:i/>
          <w:iCs/>
        </w:rPr>
      </w:pPr>
      <w:r w:rsidRPr="00AF0FCC">
        <w:rPr>
          <w:b/>
          <w:bCs/>
          <w:i/>
          <w:iCs/>
        </w:rPr>
        <w:t>Criminal law principles of duress apply to inadmissibility under s</w:t>
      </w:r>
      <w:r w:rsidR="00163D38">
        <w:rPr>
          <w:b/>
          <w:bCs/>
          <w:i/>
          <w:iCs/>
        </w:rPr>
        <w:t>.</w:t>
      </w:r>
      <w:r w:rsidRPr="00AF0FCC">
        <w:rPr>
          <w:b/>
          <w:bCs/>
          <w:i/>
          <w:iCs/>
        </w:rPr>
        <w:t xml:space="preserve"> 34(1)(f)</w:t>
      </w:r>
    </w:p>
    <w:p w14:paraId="33C6C07B" w14:textId="77777777" w:rsidR="00D30377" w:rsidRPr="00D30377" w:rsidRDefault="00D30377" w:rsidP="00D30377">
      <w:pPr>
        <w:rPr>
          <w:b/>
          <w:bCs/>
          <w:i/>
          <w:iCs/>
        </w:rPr>
      </w:pPr>
    </w:p>
    <w:p w14:paraId="5387632D" w14:textId="77777777" w:rsidR="00F57831" w:rsidRDefault="00F57831" w:rsidP="00F57831">
      <w:pPr>
        <w:pStyle w:val="ListParagraph"/>
        <w:numPr>
          <w:ilvl w:val="0"/>
          <w:numId w:val="1"/>
        </w:numPr>
        <w:spacing w:line="480" w:lineRule="auto"/>
        <w:ind w:left="0" w:firstLine="0"/>
        <w:jc w:val="both"/>
        <w:rPr>
          <w:lang w:eastAsia="en-US"/>
        </w:rPr>
      </w:pPr>
      <w:r w:rsidRPr="007363A1">
        <w:rPr>
          <w:lang w:eastAsia="en-US"/>
        </w:rPr>
        <w:t xml:space="preserve">In criminal law, a well-founded defence of duress provides a complete bar to conviction. </w:t>
      </w:r>
      <w:r>
        <w:rPr>
          <w:lang w:eastAsia="en-US"/>
        </w:rPr>
        <w:t xml:space="preserve">It can operate as an excuse, or by negating mens rea. </w:t>
      </w:r>
      <w:r w:rsidRPr="007363A1">
        <w:rPr>
          <w:lang w:eastAsia="en-US"/>
        </w:rPr>
        <w:t>This is rooted in the principle of fundamental justice that only voluntary conduct should attract the penalty and stigma of criminal liability.  </w:t>
      </w:r>
    </w:p>
    <w:p w14:paraId="0BF4A7C4" w14:textId="3ED5E83B" w:rsidR="00F57831" w:rsidRDefault="00F57831" w:rsidP="00F57831">
      <w:pPr>
        <w:pStyle w:val="NormalWeb"/>
        <w:spacing w:before="0" w:beforeAutospacing="0" w:after="0" w:afterAutospacing="0"/>
        <w:ind w:left="720"/>
      </w:pPr>
      <w:r>
        <w:rPr>
          <w:i/>
          <w:iCs/>
          <w:color w:val="000000"/>
        </w:rPr>
        <w:t>R v Hibbert,</w:t>
      </w:r>
      <w:r w:rsidRPr="004B1BF6">
        <w:rPr>
          <w:color w:val="000000"/>
        </w:rPr>
        <w:t xml:space="preserve"> [</w:t>
      </w:r>
      <w:r>
        <w:rPr>
          <w:color w:val="000000"/>
        </w:rPr>
        <w:t xml:space="preserve">1995] 2 </w:t>
      </w:r>
      <w:r w:rsidRPr="00C83C6D">
        <w:rPr>
          <w:color w:val="000000"/>
        </w:rPr>
        <w:t>SC</w:t>
      </w:r>
      <w:r>
        <w:rPr>
          <w:color w:val="000000"/>
        </w:rPr>
        <w:t>R</w:t>
      </w:r>
      <w:r w:rsidRPr="00C83C6D">
        <w:rPr>
          <w:color w:val="000000"/>
        </w:rPr>
        <w:t xml:space="preserve"> </w:t>
      </w:r>
      <w:r>
        <w:rPr>
          <w:color w:val="000000"/>
        </w:rPr>
        <w:t>973 at paras 22</w:t>
      </w:r>
      <w:r w:rsidR="00D42A51">
        <w:rPr>
          <w:color w:val="000000"/>
        </w:rPr>
        <w:t xml:space="preserve">, </w:t>
      </w:r>
      <w:r>
        <w:rPr>
          <w:color w:val="000000"/>
        </w:rPr>
        <w:t>48.</w:t>
      </w:r>
    </w:p>
    <w:p w14:paraId="43D4CBB1" w14:textId="77777777" w:rsidR="00F57831" w:rsidRDefault="00F57831" w:rsidP="00F57831">
      <w:pPr>
        <w:pStyle w:val="NormalWeb"/>
        <w:spacing w:before="0" w:beforeAutospacing="0" w:after="0" w:afterAutospacing="0"/>
        <w:ind w:left="720"/>
      </w:pPr>
      <w:r>
        <w:rPr>
          <w:i/>
          <w:iCs/>
          <w:color w:val="000000"/>
        </w:rPr>
        <w:t xml:space="preserve">R v Ruzic, </w:t>
      </w:r>
      <w:r w:rsidRPr="00C83C6D">
        <w:rPr>
          <w:color w:val="000000"/>
        </w:rPr>
        <w:t>2001 SCC 24</w:t>
      </w:r>
      <w:r>
        <w:rPr>
          <w:color w:val="000000"/>
        </w:rPr>
        <w:t xml:space="preserve"> at para 47.</w:t>
      </w:r>
    </w:p>
    <w:p w14:paraId="559715B3" w14:textId="77777777" w:rsidR="00F57831" w:rsidRPr="00C260EC" w:rsidRDefault="00F57831" w:rsidP="00F57831">
      <w:pPr>
        <w:pStyle w:val="NormalWeb"/>
        <w:spacing w:before="0" w:beforeAutospacing="0" w:after="0" w:afterAutospacing="0"/>
      </w:pPr>
    </w:p>
    <w:p w14:paraId="20284A0C" w14:textId="126A0C43" w:rsidR="00F57831" w:rsidRPr="00BC3209" w:rsidRDefault="00F57831" w:rsidP="00F57831">
      <w:pPr>
        <w:pStyle w:val="ListParagraph"/>
        <w:numPr>
          <w:ilvl w:val="0"/>
          <w:numId w:val="1"/>
        </w:numPr>
        <w:spacing w:line="480" w:lineRule="auto"/>
        <w:ind w:left="0" w:firstLine="0"/>
        <w:jc w:val="both"/>
        <w:rPr>
          <w:lang w:eastAsia="en-US"/>
        </w:rPr>
      </w:pPr>
      <w:r w:rsidRPr="00BC3209">
        <w:rPr>
          <w:lang w:eastAsia="en-US"/>
        </w:rPr>
        <w:t xml:space="preserve">Inadmissibility under the </w:t>
      </w:r>
      <w:r w:rsidRPr="00C22B9C">
        <w:rPr>
          <w:i/>
          <w:iCs/>
          <w:lang w:eastAsia="en-US"/>
        </w:rPr>
        <w:t>IRPA</w:t>
      </w:r>
      <w:r w:rsidRPr="00BC3209">
        <w:rPr>
          <w:lang w:eastAsia="en-US"/>
        </w:rPr>
        <w:t xml:space="preserve"> does not operate in isolation from criminal law. In fact, inadmissibility often relies on criminal law for its very interpretation.</w:t>
      </w:r>
      <w:r w:rsidR="00F77E3A">
        <w:rPr>
          <w:lang w:eastAsia="en-US"/>
        </w:rPr>
        <w:t xml:space="preserve"> </w:t>
      </w:r>
      <w:r w:rsidRPr="00BC3209">
        <w:rPr>
          <w:lang w:eastAsia="en-US"/>
        </w:rPr>
        <w:t>The Supreme Court has recognized the need for this reliance</w:t>
      </w:r>
      <w:r w:rsidRPr="00BC3209">
        <w:rPr>
          <w:i/>
          <w:iCs/>
          <w:lang w:eastAsia="en-US"/>
        </w:rPr>
        <w:t>,</w:t>
      </w:r>
      <w:r w:rsidRPr="00BC3209">
        <w:rPr>
          <w:lang w:eastAsia="en-US"/>
        </w:rPr>
        <w:t xml:space="preserve"> noting that “where an immigration tribunal is required to determine whether an applicant’s act would constitute a criminal offence under Canadian law (see, e.g., </w:t>
      </w:r>
      <w:r w:rsidRPr="00BC3209">
        <w:rPr>
          <w:i/>
          <w:iCs/>
          <w:lang w:eastAsia="en-US"/>
        </w:rPr>
        <w:t>Immigration and Refugee Protection Act</w:t>
      </w:r>
      <w:r w:rsidRPr="00BC3209">
        <w:rPr>
          <w:lang w:eastAsia="en-US"/>
        </w:rPr>
        <w:t>, S.C. 2001, c. 27</w:t>
      </w:r>
      <w:r w:rsidR="00DF257B">
        <w:rPr>
          <w:lang w:eastAsia="en-US"/>
        </w:rPr>
        <w:t>,</w:t>
      </w:r>
      <w:r w:rsidRPr="00BC3209">
        <w:rPr>
          <w:lang w:eastAsia="en-US"/>
        </w:rPr>
        <w:t xml:space="preserve"> ss 35-37), it would clearly not be reasonable for the tribunal to adopt an interpretation of a criminal law provision that is inconsistent with how Canadian criminal courts have interpreted it.”</w:t>
      </w:r>
    </w:p>
    <w:p w14:paraId="44AD75EA" w14:textId="77777777" w:rsidR="00F57831" w:rsidRPr="00BC3209" w:rsidRDefault="00F57831" w:rsidP="00F57831">
      <w:pPr>
        <w:pStyle w:val="NormalWeb"/>
        <w:spacing w:before="0" w:beforeAutospacing="0" w:after="0" w:afterAutospacing="0"/>
        <w:ind w:left="720"/>
        <w:rPr>
          <w:color w:val="000000"/>
        </w:rPr>
      </w:pPr>
      <w:r w:rsidRPr="00BC3209">
        <w:rPr>
          <w:i/>
          <w:iCs/>
          <w:color w:val="000000"/>
        </w:rPr>
        <w:t>Canada (Minister of Citizenship and Immigration) v Vavilov</w:t>
      </w:r>
      <w:r w:rsidRPr="00BC3209">
        <w:rPr>
          <w:color w:val="000000"/>
        </w:rPr>
        <w:t>, 2019 SCC 65 at para 112.</w:t>
      </w:r>
    </w:p>
    <w:p w14:paraId="4D917DC1" w14:textId="77777777" w:rsidR="00F57831" w:rsidRPr="00BC3209" w:rsidRDefault="00F57831" w:rsidP="00F57831">
      <w:pPr>
        <w:pStyle w:val="NormalWeb"/>
        <w:spacing w:before="0" w:beforeAutospacing="0" w:after="0" w:afterAutospacing="0"/>
        <w:rPr>
          <w:color w:val="000000"/>
        </w:rPr>
      </w:pPr>
    </w:p>
    <w:p w14:paraId="61923698" w14:textId="09651ED7" w:rsidR="00F57831" w:rsidRPr="00BC3209" w:rsidRDefault="00F57831" w:rsidP="00F57831">
      <w:pPr>
        <w:pStyle w:val="ListParagraph"/>
        <w:numPr>
          <w:ilvl w:val="0"/>
          <w:numId w:val="1"/>
        </w:numPr>
        <w:spacing w:line="480" w:lineRule="auto"/>
        <w:ind w:left="0" w:firstLine="0"/>
        <w:jc w:val="both"/>
        <w:rPr>
          <w:lang w:eastAsia="en-US"/>
        </w:rPr>
      </w:pPr>
      <w:r w:rsidRPr="00BC3209">
        <w:rPr>
          <w:lang w:eastAsia="en-US"/>
        </w:rPr>
        <w:t xml:space="preserve">Furthermore, Canadian criminal law and the </w:t>
      </w:r>
      <w:r w:rsidRPr="00C22B9C">
        <w:rPr>
          <w:i/>
          <w:iCs/>
          <w:lang w:eastAsia="en-US"/>
        </w:rPr>
        <w:t>IRPA</w:t>
      </w:r>
      <w:r w:rsidRPr="00BC3209">
        <w:rPr>
          <w:lang w:eastAsia="en-US"/>
        </w:rPr>
        <w:t xml:space="preserve"> inadmissibility regime share common objectives.  Both seek to address terrorism abroad. The Federal Court has held that the definition of “terrorist activity” in s</w:t>
      </w:r>
      <w:r w:rsidR="00F77E3A">
        <w:rPr>
          <w:lang w:eastAsia="en-US"/>
        </w:rPr>
        <w:t>.</w:t>
      </w:r>
      <w:r w:rsidRPr="00BC3209">
        <w:rPr>
          <w:lang w:eastAsia="en-US"/>
        </w:rPr>
        <w:t xml:space="preserve"> 83.01 of the </w:t>
      </w:r>
      <w:r w:rsidRPr="00BC3209">
        <w:rPr>
          <w:i/>
          <w:iCs/>
          <w:lang w:eastAsia="en-US"/>
        </w:rPr>
        <w:t>Criminal Code</w:t>
      </w:r>
      <w:r w:rsidRPr="00BC3209">
        <w:rPr>
          <w:lang w:eastAsia="en-US"/>
        </w:rPr>
        <w:t xml:space="preserve"> may be imported into the </w:t>
      </w:r>
      <w:r w:rsidRPr="00C22B9C">
        <w:rPr>
          <w:i/>
          <w:iCs/>
          <w:lang w:eastAsia="en-US"/>
        </w:rPr>
        <w:t>IRPA</w:t>
      </w:r>
      <w:r w:rsidRPr="00BC3209">
        <w:rPr>
          <w:lang w:eastAsia="en-US"/>
        </w:rPr>
        <w:t xml:space="preserve"> for the purposes of a finding under </w:t>
      </w:r>
      <w:r w:rsidR="00F77E3A">
        <w:rPr>
          <w:lang w:eastAsia="en-US"/>
        </w:rPr>
        <w:t>ss.</w:t>
      </w:r>
      <w:r w:rsidR="00F77E3A" w:rsidRPr="00BC3209">
        <w:rPr>
          <w:lang w:eastAsia="en-US"/>
        </w:rPr>
        <w:t xml:space="preserve"> </w:t>
      </w:r>
      <w:r w:rsidRPr="00BC3209">
        <w:rPr>
          <w:lang w:eastAsia="en-US"/>
        </w:rPr>
        <w:t>34(1)(f) and (c). In making this finding, Justice Brown noted, “The Criminal Code’s application to terrorist conduct outside Canada supplies a key linkage to Canada’s immigration laws; it shows the common purposes of the two provisions.”</w:t>
      </w:r>
    </w:p>
    <w:p w14:paraId="41454B1F" w14:textId="6449A864" w:rsidR="00F57831" w:rsidRDefault="00F57831" w:rsidP="00F57831">
      <w:pPr>
        <w:pStyle w:val="NormalWeb"/>
        <w:spacing w:before="0" w:beforeAutospacing="0" w:after="0" w:afterAutospacing="0"/>
        <w:ind w:left="720"/>
      </w:pPr>
      <w:r w:rsidRPr="00BC3209">
        <w:rPr>
          <w:i/>
          <w:iCs/>
          <w:color w:val="000000"/>
        </w:rPr>
        <w:t>Ali v Canada (Citizenship and Immigration),</w:t>
      </w:r>
      <w:r w:rsidRPr="00BC3209">
        <w:rPr>
          <w:color w:val="000000"/>
        </w:rPr>
        <w:t xml:space="preserve"> 2017 FC 182 at paras 43</w:t>
      </w:r>
      <w:r w:rsidR="00D42A51">
        <w:rPr>
          <w:color w:val="000000"/>
        </w:rPr>
        <w:t xml:space="preserve">, </w:t>
      </w:r>
      <w:r w:rsidRPr="00BC3209">
        <w:rPr>
          <w:color w:val="000000"/>
        </w:rPr>
        <w:t>44.</w:t>
      </w:r>
    </w:p>
    <w:p w14:paraId="1A5FBF4D" w14:textId="77777777" w:rsidR="00F57831" w:rsidRDefault="00F57831" w:rsidP="00F57831">
      <w:pPr>
        <w:pStyle w:val="NormalWeb"/>
        <w:spacing w:before="0" w:beforeAutospacing="0" w:after="0" w:afterAutospacing="0"/>
        <w:ind w:left="720"/>
        <w:rPr>
          <w:lang w:eastAsia="en-US"/>
        </w:rPr>
      </w:pPr>
    </w:p>
    <w:p w14:paraId="663ABB0C" w14:textId="6A9241FE" w:rsidR="00F57831" w:rsidRDefault="00F57831" w:rsidP="00F57831">
      <w:pPr>
        <w:pStyle w:val="ListParagraph"/>
        <w:numPr>
          <w:ilvl w:val="0"/>
          <w:numId w:val="1"/>
        </w:numPr>
        <w:spacing w:line="480" w:lineRule="auto"/>
        <w:ind w:left="0" w:firstLine="0"/>
        <w:jc w:val="both"/>
        <w:rPr>
          <w:lang w:eastAsia="en-US"/>
        </w:rPr>
      </w:pPr>
      <w:r w:rsidRPr="007363A1">
        <w:rPr>
          <w:lang w:eastAsia="en-US"/>
        </w:rPr>
        <w:t>Per s</w:t>
      </w:r>
      <w:r w:rsidR="00F77E3A">
        <w:rPr>
          <w:lang w:eastAsia="en-US"/>
        </w:rPr>
        <w:t>.</w:t>
      </w:r>
      <w:r w:rsidRPr="007363A1">
        <w:rPr>
          <w:lang w:eastAsia="en-US"/>
        </w:rPr>
        <w:t xml:space="preserve"> 8 of the </w:t>
      </w:r>
      <w:r w:rsidRPr="00AF0FCC">
        <w:rPr>
          <w:i/>
          <w:iCs/>
          <w:lang w:eastAsia="en-US"/>
        </w:rPr>
        <w:t>Criminal Code</w:t>
      </w:r>
      <w:r w:rsidRPr="007363A1">
        <w:rPr>
          <w:lang w:eastAsia="en-US"/>
        </w:rPr>
        <w:t xml:space="preserve">, common law defences apply to all offences </w:t>
      </w:r>
      <w:r>
        <w:rPr>
          <w:lang w:eastAsia="en-US"/>
        </w:rPr>
        <w:t>found in</w:t>
      </w:r>
      <w:r w:rsidRPr="007363A1">
        <w:rPr>
          <w:lang w:eastAsia="en-US"/>
        </w:rPr>
        <w:t xml:space="preserve"> </w:t>
      </w:r>
      <w:r>
        <w:rPr>
          <w:lang w:eastAsia="en-US"/>
        </w:rPr>
        <w:t>A</w:t>
      </w:r>
      <w:r w:rsidRPr="007363A1">
        <w:rPr>
          <w:lang w:eastAsia="en-US"/>
        </w:rPr>
        <w:t xml:space="preserve">cts of Parliament, “except in so far as they are altered by or are inconsistent with” any </w:t>
      </w:r>
      <w:r>
        <w:rPr>
          <w:lang w:eastAsia="en-US"/>
        </w:rPr>
        <w:t>A</w:t>
      </w:r>
      <w:r w:rsidRPr="007363A1">
        <w:rPr>
          <w:lang w:eastAsia="en-US"/>
        </w:rPr>
        <w:t xml:space="preserve">ct of Parliament. </w:t>
      </w:r>
      <w:r>
        <w:rPr>
          <w:lang w:eastAsia="en-US"/>
        </w:rPr>
        <w:t>Because the</w:t>
      </w:r>
      <w:r w:rsidRPr="007363A1">
        <w:rPr>
          <w:lang w:eastAsia="en-US"/>
        </w:rPr>
        <w:t xml:space="preserve"> </w:t>
      </w:r>
      <w:r w:rsidRPr="00C22B9C">
        <w:rPr>
          <w:i/>
          <w:iCs/>
          <w:lang w:eastAsia="en-US"/>
        </w:rPr>
        <w:t>IRPA</w:t>
      </w:r>
      <w:r w:rsidRPr="007363A1">
        <w:rPr>
          <w:lang w:eastAsia="en-US"/>
        </w:rPr>
        <w:t xml:space="preserve"> </w:t>
      </w:r>
      <w:r>
        <w:rPr>
          <w:lang w:eastAsia="en-US"/>
        </w:rPr>
        <w:t>does not explicitly displace the common law defences, we must presume that defences are applicable.</w:t>
      </w:r>
      <w:r w:rsidRPr="007363A1">
        <w:rPr>
          <w:lang w:eastAsia="en-US"/>
        </w:rPr>
        <w:t xml:space="preserve"> In fact, defences have been applied in immigration law even prior to the enactment of the </w:t>
      </w:r>
      <w:r w:rsidRPr="00C22B9C">
        <w:rPr>
          <w:i/>
          <w:iCs/>
          <w:lang w:eastAsia="en-US"/>
        </w:rPr>
        <w:t>IRPA</w:t>
      </w:r>
      <w:r>
        <w:rPr>
          <w:lang w:eastAsia="en-US"/>
        </w:rPr>
        <w:t>, and</w:t>
      </w:r>
      <w:r w:rsidRPr="007363A1">
        <w:rPr>
          <w:lang w:eastAsia="en-US"/>
        </w:rPr>
        <w:t xml:space="preserve"> “the </w:t>
      </w:r>
      <w:r w:rsidRPr="00C22B9C">
        <w:rPr>
          <w:i/>
          <w:iCs/>
          <w:lang w:eastAsia="en-US"/>
        </w:rPr>
        <w:t>IRPA</w:t>
      </w:r>
      <w:r w:rsidRPr="007363A1">
        <w:rPr>
          <w:lang w:eastAsia="en-US"/>
        </w:rPr>
        <w:t xml:space="preserve"> does not contain any provision which defines duress in a different way.” In other words, in enacting the </w:t>
      </w:r>
      <w:r w:rsidRPr="00C22B9C">
        <w:rPr>
          <w:i/>
          <w:iCs/>
          <w:lang w:eastAsia="en-US"/>
        </w:rPr>
        <w:t>IRPA</w:t>
      </w:r>
      <w:r w:rsidRPr="007363A1">
        <w:rPr>
          <w:lang w:eastAsia="en-US"/>
        </w:rPr>
        <w:t xml:space="preserve">, Parliament </w:t>
      </w:r>
      <w:r>
        <w:rPr>
          <w:lang w:eastAsia="en-US"/>
        </w:rPr>
        <w:t>made the choice to not</w:t>
      </w:r>
      <w:r w:rsidRPr="007363A1">
        <w:rPr>
          <w:lang w:eastAsia="en-US"/>
        </w:rPr>
        <w:t xml:space="preserve"> limit the application of defences</w:t>
      </w:r>
      <w:r>
        <w:rPr>
          <w:lang w:eastAsia="en-US"/>
        </w:rPr>
        <w:t>,</w:t>
      </w:r>
      <w:r w:rsidRPr="007363A1">
        <w:rPr>
          <w:lang w:eastAsia="en-US"/>
        </w:rPr>
        <w:t xml:space="preserve"> despite clear applications in the </w:t>
      </w:r>
      <w:r>
        <w:rPr>
          <w:lang w:eastAsia="en-US"/>
        </w:rPr>
        <w:t>case law</w:t>
      </w:r>
      <w:r w:rsidRPr="007363A1">
        <w:rPr>
          <w:lang w:eastAsia="en-US"/>
        </w:rPr>
        <w:t>.</w:t>
      </w:r>
    </w:p>
    <w:p w14:paraId="41951454" w14:textId="2C2135D9" w:rsidR="00C25B7A" w:rsidRPr="00C25B7A" w:rsidRDefault="00C25B7A" w:rsidP="00F57831">
      <w:pPr>
        <w:pStyle w:val="NormalWeb"/>
        <w:spacing w:before="0" w:beforeAutospacing="0" w:after="0" w:afterAutospacing="0"/>
        <w:ind w:left="720"/>
        <w:rPr>
          <w:color w:val="000000"/>
        </w:rPr>
      </w:pPr>
      <w:r>
        <w:rPr>
          <w:i/>
          <w:iCs/>
          <w:color w:val="000000"/>
        </w:rPr>
        <w:t xml:space="preserve">Criminal Code, </w:t>
      </w:r>
      <w:r>
        <w:rPr>
          <w:color w:val="000000"/>
        </w:rPr>
        <w:t xml:space="preserve">RSC 1985, c C-46, s 8. </w:t>
      </w:r>
    </w:p>
    <w:p w14:paraId="76269F89" w14:textId="21AE94F4" w:rsidR="00F57831" w:rsidRDefault="00F57831" w:rsidP="00F57831">
      <w:pPr>
        <w:pStyle w:val="NormalWeb"/>
        <w:spacing w:before="0" w:beforeAutospacing="0" w:after="0" w:afterAutospacing="0"/>
        <w:ind w:left="720"/>
        <w:rPr>
          <w:color w:val="000000"/>
        </w:rPr>
      </w:pPr>
      <w:r w:rsidRPr="00ED38AC">
        <w:rPr>
          <w:i/>
          <w:iCs/>
          <w:color w:val="000000"/>
        </w:rPr>
        <w:t>Gil Luces v Canada (</w:t>
      </w:r>
      <w:r>
        <w:rPr>
          <w:i/>
          <w:iCs/>
          <w:color w:val="000000"/>
        </w:rPr>
        <w:t>M</w:t>
      </w:r>
      <w:r w:rsidRPr="00ED38AC">
        <w:rPr>
          <w:i/>
          <w:iCs/>
          <w:color w:val="000000"/>
        </w:rPr>
        <w:t xml:space="preserve">PSEP), </w:t>
      </w:r>
      <w:r w:rsidRPr="00ED38AC">
        <w:rPr>
          <w:color w:val="000000"/>
        </w:rPr>
        <w:t>2019 FC 1200 at para 21.</w:t>
      </w:r>
    </w:p>
    <w:p w14:paraId="42C3455A" w14:textId="77777777" w:rsidR="00F57831" w:rsidRPr="00B51059" w:rsidRDefault="00F57831" w:rsidP="00F57831">
      <w:pPr>
        <w:pStyle w:val="NormalWeb"/>
        <w:spacing w:before="0" w:beforeAutospacing="0" w:after="0" w:afterAutospacing="0"/>
        <w:ind w:left="720"/>
      </w:pPr>
    </w:p>
    <w:p w14:paraId="58486DD4" w14:textId="77777777" w:rsidR="00F57831" w:rsidRDefault="00F57831" w:rsidP="00F57831">
      <w:pPr>
        <w:pStyle w:val="ListParagraph"/>
        <w:numPr>
          <w:ilvl w:val="0"/>
          <w:numId w:val="1"/>
        </w:numPr>
        <w:spacing w:line="480" w:lineRule="auto"/>
        <w:ind w:left="0" w:firstLine="0"/>
        <w:jc w:val="both"/>
        <w:rPr>
          <w:lang w:eastAsia="en-US"/>
        </w:rPr>
      </w:pPr>
      <w:r>
        <w:rPr>
          <w:lang w:eastAsia="en-US"/>
        </w:rPr>
        <w:t xml:space="preserve">Additionally, the </w:t>
      </w:r>
      <w:r w:rsidRPr="007363A1">
        <w:rPr>
          <w:lang w:eastAsia="en-US"/>
        </w:rPr>
        <w:t>Supreme Court has endorsed the consideration of a</w:t>
      </w:r>
      <w:r>
        <w:rPr>
          <w:lang w:eastAsia="en-US"/>
        </w:rPr>
        <w:t>ll</w:t>
      </w:r>
      <w:r w:rsidRPr="007363A1">
        <w:rPr>
          <w:lang w:eastAsia="en-US"/>
        </w:rPr>
        <w:t xml:space="preserve"> viable defences, including duress, by the </w:t>
      </w:r>
      <w:r>
        <w:rPr>
          <w:lang w:eastAsia="en-US"/>
        </w:rPr>
        <w:t xml:space="preserve">Refugee Protection Division </w:t>
      </w:r>
      <w:r w:rsidRPr="007363A1">
        <w:rPr>
          <w:lang w:eastAsia="en-US"/>
        </w:rPr>
        <w:t xml:space="preserve">when deciding whether a person </w:t>
      </w:r>
      <w:r>
        <w:rPr>
          <w:lang w:eastAsia="en-US"/>
        </w:rPr>
        <w:t>should be excluded from refugee status</w:t>
      </w:r>
      <w:r w:rsidRPr="007363A1">
        <w:rPr>
          <w:lang w:eastAsia="en-US"/>
        </w:rPr>
        <w:t>.</w:t>
      </w:r>
    </w:p>
    <w:p w14:paraId="6DAA3993" w14:textId="77777777" w:rsidR="00F57831" w:rsidRDefault="00F57831" w:rsidP="00F57831">
      <w:pPr>
        <w:pStyle w:val="NormalWeb"/>
        <w:spacing w:before="0" w:beforeAutospacing="0" w:after="0" w:afterAutospacing="0"/>
        <w:ind w:firstLine="720"/>
      </w:pPr>
      <w:r>
        <w:rPr>
          <w:i/>
          <w:iCs/>
          <w:color w:val="000000"/>
        </w:rPr>
        <w:t>Ezokola v Canada (Citizenship and Immigration),</w:t>
      </w:r>
      <w:r>
        <w:rPr>
          <w:color w:val="000000"/>
        </w:rPr>
        <w:t xml:space="preserve"> 2013 SCC 40 at para 100 [</w:t>
      </w:r>
      <w:r>
        <w:rPr>
          <w:i/>
          <w:iCs/>
          <w:color w:val="000000"/>
        </w:rPr>
        <w:t>Ezokola</w:t>
      </w:r>
      <w:r>
        <w:rPr>
          <w:color w:val="000000"/>
        </w:rPr>
        <w:t>].</w:t>
      </w:r>
    </w:p>
    <w:p w14:paraId="366FBB42" w14:textId="77777777" w:rsidR="00F57831" w:rsidRPr="00023819" w:rsidRDefault="00F57831" w:rsidP="00F57831">
      <w:pPr>
        <w:pStyle w:val="NormalWeb"/>
        <w:spacing w:before="0" w:beforeAutospacing="0" w:after="0" w:afterAutospacing="0"/>
        <w:rPr>
          <w:color w:val="000000"/>
        </w:rPr>
      </w:pPr>
    </w:p>
    <w:p w14:paraId="776F9A61" w14:textId="77777777" w:rsidR="00F57831" w:rsidRDefault="00F57831" w:rsidP="00F57831">
      <w:pPr>
        <w:pStyle w:val="ListParagraph"/>
        <w:numPr>
          <w:ilvl w:val="0"/>
          <w:numId w:val="1"/>
        </w:numPr>
        <w:spacing w:line="480" w:lineRule="auto"/>
        <w:ind w:left="0" w:firstLine="0"/>
        <w:jc w:val="both"/>
        <w:rPr>
          <w:lang w:eastAsia="en-US"/>
        </w:rPr>
      </w:pPr>
      <w:r w:rsidRPr="007363A1">
        <w:rPr>
          <w:lang w:eastAsia="en-US"/>
        </w:rPr>
        <w:t>The</w:t>
      </w:r>
      <w:r>
        <w:rPr>
          <w:lang w:eastAsia="en-US"/>
        </w:rPr>
        <w:t xml:space="preserve"> case law is clear that the defence of duress </w:t>
      </w:r>
      <w:r w:rsidRPr="007363A1">
        <w:rPr>
          <w:lang w:eastAsia="en-US"/>
        </w:rPr>
        <w:t xml:space="preserve">applies to inadmissibility under </w:t>
      </w:r>
      <w:r>
        <w:rPr>
          <w:lang w:eastAsia="en-US"/>
        </w:rPr>
        <w:t>s</w:t>
      </w:r>
      <w:r w:rsidRPr="007363A1">
        <w:rPr>
          <w:lang w:eastAsia="en-US"/>
        </w:rPr>
        <w:t xml:space="preserve"> 34(1)(f)</w:t>
      </w:r>
      <w:r>
        <w:rPr>
          <w:lang w:eastAsia="en-US"/>
        </w:rPr>
        <w:t xml:space="preserve">. Here, the principles of the defence, as developed in the criminal law, are modified to the circumstances of inadmissibility. </w:t>
      </w:r>
    </w:p>
    <w:p w14:paraId="0F827F6A" w14:textId="77777777" w:rsidR="00F57831" w:rsidRDefault="00F57831" w:rsidP="00F57831">
      <w:pPr>
        <w:pStyle w:val="NormalWeb"/>
        <w:spacing w:before="0" w:beforeAutospacing="0" w:after="0" w:afterAutospacing="0"/>
        <w:ind w:left="720"/>
      </w:pPr>
      <w:r>
        <w:rPr>
          <w:i/>
          <w:iCs/>
          <w:color w:val="000000"/>
        </w:rPr>
        <w:t>Mohamed v Canada (Citizenship and Immigration),</w:t>
      </w:r>
      <w:r>
        <w:rPr>
          <w:color w:val="000000"/>
        </w:rPr>
        <w:t xml:space="preserve"> 2015 FC 622 at para 28.</w:t>
      </w:r>
    </w:p>
    <w:p w14:paraId="1C5EC8DF" w14:textId="0EA1D5A6" w:rsidR="00F57831" w:rsidRDefault="00F57831" w:rsidP="00F57831">
      <w:pPr>
        <w:pStyle w:val="NormalWeb"/>
        <w:spacing w:before="0" w:beforeAutospacing="0" w:after="0" w:afterAutospacing="0"/>
        <w:ind w:left="720"/>
      </w:pPr>
      <w:r>
        <w:rPr>
          <w:i/>
          <w:iCs/>
          <w:color w:val="000000"/>
        </w:rPr>
        <w:t>Ghaffari</w:t>
      </w:r>
      <w:r w:rsidR="00F77E3A">
        <w:rPr>
          <w:i/>
          <w:iCs/>
          <w:color w:val="000000"/>
        </w:rPr>
        <w:t xml:space="preserve">, supra </w:t>
      </w:r>
      <w:r w:rsidR="00F77E3A" w:rsidRPr="00C22B9C">
        <w:rPr>
          <w:color w:val="000000"/>
        </w:rPr>
        <w:t>para 29</w:t>
      </w:r>
      <w:r w:rsidR="00F77E3A">
        <w:rPr>
          <w:i/>
          <w:iCs/>
          <w:color w:val="000000"/>
        </w:rPr>
        <w:t xml:space="preserve"> </w:t>
      </w:r>
      <w:r>
        <w:rPr>
          <w:color w:val="000000"/>
        </w:rPr>
        <w:t>at paras 19</w:t>
      </w:r>
      <w:r w:rsidR="00D42A51">
        <w:rPr>
          <w:color w:val="000000"/>
        </w:rPr>
        <w:t xml:space="preserve">, </w:t>
      </w:r>
      <w:r>
        <w:rPr>
          <w:color w:val="000000"/>
        </w:rPr>
        <w:t>20.</w:t>
      </w:r>
    </w:p>
    <w:p w14:paraId="7B4CD1CC" w14:textId="77777777" w:rsidR="00F57831" w:rsidRDefault="00F57831" w:rsidP="00F57831">
      <w:pPr>
        <w:pStyle w:val="NormalWeb"/>
        <w:spacing w:before="0" w:beforeAutospacing="0" w:after="0" w:afterAutospacing="0"/>
        <w:ind w:left="720"/>
      </w:pPr>
    </w:p>
    <w:p w14:paraId="4D19878E" w14:textId="77777777" w:rsidR="00F57831" w:rsidRDefault="00F57831" w:rsidP="00F57831">
      <w:pPr>
        <w:pStyle w:val="ListParagraph"/>
        <w:numPr>
          <w:ilvl w:val="0"/>
          <w:numId w:val="1"/>
        </w:numPr>
        <w:spacing w:line="480" w:lineRule="auto"/>
        <w:ind w:left="0" w:firstLine="0"/>
        <w:jc w:val="both"/>
        <w:rPr>
          <w:lang w:eastAsia="en-US"/>
        </w:rPr>
      </w:pPr>
      <w:r>
        <w:rPr>
          <w:lang w:eastAsia="en-US"/>
        </w:rPr>
        <w:t>Duress</w:t>
      </w:r>
      <w:r w:rsidRPr="007363A1">
        <w:rPr>
          <w:lang w:eastAsia="en-US"/>
        </w:rPr>
        <w:t xml:space="preserve"> and membership are interrelated and ought to be considered together. The Federal Court found that an individual “cannot be considered to be a member of a group when his or her involvement with it is based on duress.” The evidence should be considered as a whole to determine whether the person was truly a member or whether his or her acts were coerced.</w:t>
      </w:r>
    </w:p>
    <w:p w14:paraId="67722395" w14:textId="321E82BB" w:rsidR="00F57831" w:rsidRDefault="00F57831" w:rsidP="00F57831">
      <w:pPr>
        <w:pStyle w:val="NormalWeb"/>
        <w:spacing w:before="0" w:beforeAutospacing="0" w:after="0" w:afterAutospacing="0"/>
        <w:ind w:left="720"/>
        <w:rPr>
          <w:i/>
          <w:iCs/>
          <w:color w:val="000000"/>
          <w:shd w:val="clear" w:color="auto" w:fill="FFFFFF"/>
        </w:rPr>
      </w:pPr>
      <w:r>
        <w:rPr>
          <w:i/>
          <w:iCs/>
          <w:color w:val="000000"/>
          <w:shd w:val="clear" w:color="auto" w:fill="FFFFFF"/>
        </w:rPr>
        <w:t xml:space="preserve">Jalloh, supra </w:t>
      </w:r>
      <w:r>
        <w:rPr>
          <w:color w:val="000000"/>
          <w:shd w:val="clear" w:color="auto" w:fill="FFFFFF"/>
        </w:rPr>
        <w:t>para 7</w:t>
      </w:r>
      <w:r w:rsidR="00611FEB">
        <w:rPr>
          <w:color w:val="000000"/>
          <w:shd w:val="clear" w:color="auto" w:fill="FFFFFF"/>
        </w:rPr>
        <w:t>7</w:t>
      </w:r>
      <w:r>
        <w:rPr>
          <w:color w:val="000000"/>
          <w:shd w:val="clear" w:color="auto" w:fill="FFFFFF"/>
        </w:rPr>
        <w:t xml:space="preserve"> at paras 37</w:t>
      </w:r>
      <w:r w:rsidR="00D42A51">
        <w:rPr>
          <w:color w:val="000000"/>
          <w:shd w:val="clear" w:color="auto" w:fill="FFFFFF"/>
        </w:rPr>
        <w:t xml:space="preserve">, </w:t>
      </w:r>
      <w:r>
        <w:rPr>
          <w:color w:val="000000"/>
          <w:shd w:val="clear" w:color="auto" w:fill="FFFFFF"/>
        </w:rPr>
        <w:t>38.</w:t>
      </w:r>
      <w:r>
        <w:rPr>
          <w:i/>
          <w:iCs/>
          <w:color w:val="000000"/>
          <w:shd w:val="clear" w:color="auto" w:fill="FFFFFF"/>
        </w:rPr>
        <w:t xml:space="preserve"> </w:t>
      </w:r>
    </w:p>
    <w:p w14:paraId="68503CBF" w14:textId="77777777" w:rsidR="00D30377" w:rsidRDefault="00D30377" w:rsidP="00F57831">
      <w:pPr>
        <w:pStyle w:val="NormalWeb"/>
        <w:spacing w:before="0" w:beforeAutospacing="0" w:after="0" w:afterAutospacing="0"/>
        <w:ind w:left="720"/>
      </w:pPr>
    </w:p>
    <w:p w14:paraId="20CBF288" w14:textId="11FFF289" w:rsidR="00F57831" w:rsidRDefault="00F57831" w:rsidP="005436EE">
      <w:pPr>
        <w:pStyle w:val="ListParagraph"/>
        <w:numPr>
          <w:ilvl w:val="0"/>
          <w:numId w:val="23"/>
        </w:numPr>
        <w:rPr>
          <w:b/>
          <w:bCs/>
          <w:i/>
          <w:iCs/>
        </w:rPr>
      </w:pPr>
      <w:r>
        <w:rPr>
          <w:b/>
          <w:bCs/>
          <w:i/>
          <w:iCs/>
        </w:rPr>
        <w:t xml:space="preserve">The operation of duress under s 34(1)(f) is supported by its applicability to other inadmissibility provisions under the IRPA </w:t>
      </w:r>
    </w:p>
    <w:p w14:paraId="23083F9F" w14:textId="77777777" w:rsidR="00D30377" w:rsidRPr="00D30377" w:rsidRDefault="00D30377" w:rsidP="00D30377">
      <w:pPr>
        <w:rPr>
          <w:b/>
          <w:bCs/>
          <w:i/>
          <w:iCs/>
        </w:rPr>
      </w:pPr>
    </w:p>
    <w:p w14:paraId="4B24185B" w14:textId="4854EE9B" w:rsidR="00F57831" w:rsidRDefault="00F57831" w:rsidP="00F57831">
      <w:pPr>
        <w:pStyle w:val="ListParagraph"/>
        <w:numPr>
          <w:ilvl w:val="0"/>
          <w:numId w:val="1"/>
        </w:numPr>
        <w:spacing w:line="480" w:lineRule="auto"/>
        <w:ind w:left="0" w:firstLine="0"/>
        <w:jc w:val="both"/>
        <w:rPr>
          <w:lang w:eastAsia="en-US"/>
        </w:rPr>
      </w:pPr>
      <w:r>
        <w:rPr>
          <w:lang w:eastAsia="en-US"/>
        </w:rPr>
        <w:t>A review</w:t>
      </w:r>
      <w:r w:rsidRPr="007363A1">
        <w:rPr>
          <w:lang w:eastAsia="en-US"/>
        </w:rPr>
        <w:t xml:space="preserve"> of the </w:t>
      </w:r>
      <w:r>
        <w:rPr>
          <w:lang w:eastAsia="en-US"/>
        </w:rPr>
        <w:t xml:space="preserve">way duress operates under other inadmissibility provisions of the </w:t>
      </w:r>
      <w:r w:rsidRPr="00C22B9C">
        <w:rPr>
          <w:i/>
          <w:iCs/>
          <w:lang w:eastAsia="en-US"/>
        </w:rPr>
        <w:t>IRPA</w:t>
      </w:r>
      <w:r>
        <w:rPr>
          <w:lang w:eastAsia="en-US"/>
        </w:rPr>
        <w:t xml:space="preserve"> reinforces the Federal Court’s finding that the defence must be made available to Mr</w:t>
      </w:r>
      <w:r w:rsidR="00F77E3A">
        <w:rPr>
          <w:lang w:eastAsia="en-US"/>
        </w:rPr>
        <w:t>.</w:t>
      </w:r>
      <w:r>
        <w:rPr>
          <w:lang w:eastAsia="en-US"/>
        </w:rPr>
        <w:t xml:space="preserve"> Chowdhury. </w:t>
      </w:r>
    </w:p>
    <w:p w14:paraId="42C749CE" w14:textId="7D5293BC" w:rsidR="00F57831" w:rsidRDefault="00F57831" w:rsidP="00F57831">
      <w:pPr>
        <w:pStyle w:val="ListParagraph"/>
        <w:numPr>
          <w:ilvl w:val="0"/>
          <w:numId w:val="1"/>
        </w:numPr>
        <w:spacing w:line="480" w:lineRule="auto"/>
        <w:ind w:left="0" w:firstLine="0"/>
        <w:jc w:val="both"/>
        <w:rPr>
          <w:lang w:eastAsia="en-US"/>
        </w:rPr>
      </w:pPr>
      <w:r>
        <w:rPr>
          <w:lang w:eastAsia="en-US"/>
        </w:rPr>
        <w:t>In</w:t>
      </w:r>
      <w:r w:rsidRPr="007363A1">
        <w:rPr>
          <w:lang w:eastAsia="en-US"/>
        </w:rPr>
        <w:t xml:space="preserve"> considering human or international rights violations </w:t>
      </w:r>
      <w:r>
        <w:rPr>
          <w:lang w:eastAsia="en-US"/>
        </w:rPr>
        <w:t>under</w:t>
      </w:r>
      <w:r w:rsidRPr="007363A1">
        <w:rPr>
          <w:lang w:eastAsia="en-US"/>
        </w:rPr>
        <w:t xml:space="preserve"> </w:t>
      </w:r>
      <w:r>
        <w:rPr>
          <w:lang w:eastAsia="en-US"/>
        </w:rPr>
        <w:t>s</w:t>
      </w:r>
      <w:r w:rsidR="00F77E3A">
        <w:rPr>
          <w:lang w:eastAsia="en-US"/>
        </w:rPr>
        <w:t>.</w:t>
      </w:r>
      <w:r w:rsidRPr="007363A1">
        <w:rPr>
          <w:lang w:eastAsia="en-US"/>
        </w:rPr>
        <w:t xml:space="preserve"> 35</w:t>
      </w:r>
      <w:r>
        <w:rPr>
          <w:lang w:eastAsia="en-US"/>
        </w:rPr>
        <w:t>(1)</w:t>
      </w:r>
      <w:r w:rsidRPr="007363A1">
        <w:rPr>
          <w:lang w:eastAsia="en-US"/>
        </w:rPr>
        <w:t xml:space="preserve">, the Supreme Court has found that guilt by association or mere membership in a brutal, limited purpose organization is no longer an independent head of liability. </w:t>
      </w:r>
      <w:r>
        <w:rPr>
          <w:lang w:eastAsia="en-US"/>
        </w:rPr>
        <w:t>A</w:t>
      </w:r>
      <w:r w:rsidRPr="007363A1">
        <w:rPr>
          <w:lang w:eastAsia="en-US"/>
        </w:rPr>
        <w:t xml:space="preserve"> complicity analysis is necessary to determine whether a person made a “voluntary, knowing and significant contribution” to the crime or criminal purpose of a group. This requirement for voluntariness captures the defence of duress, which is well recognized in international criminal law.</w:t>
      </w:r>
    </w:p>
    <w:p w14:paraId="72672924" w14:textId="444B7937" w:rsidR="00F57831" w:rsidRDefault="00F57831" w:rsidP="00F57831">
      <w:pPr>
        <w:pStyle w:val="NormalWeb"/>
        <w:spacing w:before="0" w:beforeAutospacing="0" w:after="0" w:afterAutospacing="0"/>
        <w:ind w:left="720"/>
      </w:pPr>
      <w:r>
        <w:rPr>
          <w:i/>
          <w:iCs/>
          <w:color w:val="000000"/>
        </w:rPr>
        <w:t xml:space="preserve">Ezokola, supra </w:t>
      </w:r>
      <w:r>
        <w:rPr>
          <w:color w:val="000000"/>
        </w:rPr>
        <w:t>para 8</w:t>
      </w:r>
      <w:r w:rsidR="00611FEB">
        <w:rPr>
          <w:color w:val="000000"/>
        </w:rPr>
        <w:t>6</w:t>
      </w:r>
      <w:r>
        <w:rPr>
          <w:color w:val="000000"/>
        </w:rPr>
        <w:t xml:space="preserve"> at paras 81-90.</w:t>
      </w:r>
      <w:r>
        <w:rPr>
          <w:i/>
          <w:iCs/>
          <w:color w:val="000000"/>
        </w:rPr>
        <w:t xml:space="preserve"> </w:t>
      </w:r>
    </w:p>
    <w:p w14:paraId="7AA24AF4" w14:textId="77777777" w:rsidR="00F57831" w:rsidRDefault="00F57831" w:rsidP="00F57831">
      <w:pPr>
        <w:pStyle w:val="NormalWeb"/>
        <w:spacing w:before="0" w:beforeAutospacing="0" w:after="0" w:afterAutospacing="0"/>
        <w:ind w:left="720"/>
      </w:pPr>
    </w:p>
    <w:p w14:paraId="3F225CAA" w14:textId="1037780B" w:rsidR="00F57831" w:rsidRDefault="00F57831" w:rsidP="00F57831">
      <w:pPr>
        <w:pStyle w:val="ListParagraph"/>
        <w:numPr>
          <w:ilvl w:val="0"/>
          <w:numId w:val="1"/>
        </w:numPr>
        <w:spacing w:line="480" w:lineRule="auto"/>
        <w:ind w:left="0" w:firstLine="0"/>
        <w:jc w:val="both"/>
        <w:rPr>
          <w:lang w:eastAsia="en-US"/>
        </w:rPr>
      </w:pPr>
      <w:r>
        <w:rPr>
          <w:lang w:eastAsia="en-US"/>
        </w:rPr>
        <w:t>Subsequently, the Federal Court of Appeal found that a complicity analysis is not required in the context of assessing membership pursuant to s</w:t>
      </w:r>
      <w:r w:rsidR="00F77E3A">
        <w:rPr>
          <w:lang w:eastAsia="en-US"/>
        </w:rPr>
        <w:t>.</w:t>
      </w:r>
      <w:r>
        <w:rPr>
          <w:lang w:eastAsia="en-US"/>
        </w:rPr>
        <w:t xml:space="preserve"> 34(1)(f). However, this decision has no bearing on Mr</w:t>
      </w:r>
      <w:r w:rsidR="00F77E3A">
        <w:rPr>
          <w:lang w:eastAsia="en-US"/>
        </w:rPr>
        <w:t>.</w:t>
      </w:r>
      <w:r>
        <w:rPr>
          <w:lang w:eastAsia="en-US"/>
        </w:rPr>
        <w:t xml:space="preserve"> Chowdhury’s case. The issue at bar is not whether Mr</w:t>
      </w:r>
      <w:r w:rsidR="00F77E3A">
        <w:rPr>
          <w:lang w:eastAsia="en-US"/>
        </w:rPr>
        <w:t>.</w:t>
      </w:r>
      <w:r>
        <w:rPr>
          <w:lang w:eastAsia="en-US"/>
        </w:rPr>
        <w:t xml:space="preserve"> Chowdhury was complicit in his membership, but whether his membership was a matter of duress.  </w:t>
      </w:r>
    </w:p>
    <w:p w14:paraId="2449C07F" w14:textId="77777777" w:rsidR="00F57831" w:rsidRDefault="00F57831" w:rsidP="00F57831">
      <w:pPr>
        <w:pStyle w:val="ListParagraph"/>
        <w:spacing w:line="480" w:lineRule="auto"/>
        <w:ind w:left="0" w:firstLine="720"/>
        <w:jc w:val="both"/>
        <w:rPr>
          <w:lang w:eastAsia="en-US"/>
        </w:rPr>
      </w:pPr>
      <w:r w:rsidRPr="00EB5F61">
        <w:rPr>
          <w:i/>
          <w:iCs/>
          <w:lang w:eastAsia="en-US"/>
        </w:rPr>
        <w:t>Kanagendren</w:t>
      </w:r>
      <w:r>
        <w:rPr>
          <w:i/>
          <w:iCs/>
          <w:lang w:eastAsia="en-US"/>
        </w:rPr>
        <w:t xml:space="preserve"> v Canada (Citizenship and Immigration)</w:t>
      </w:r>
      <w:r>
        <w:rPr>
          <w:lang w:eastAsia="en-US"/>
        </w:rPr>
        <w:t>, 2015 FCA 86</w:t>
      </w:r>
      <w:r>
        <w:rPr>
          <w:i/>
          <w:iCs/>
          <w:lang w:eastAsia="en-US"/>
        </w:rPr>
        <w:t xml:space="preserve"> </w:t>
      </w:r>
      <w:r>
        <w:rPr>
          <w:lang w:eastAsia="en-US"/>
        </w:rPr>
        <w:t>at para 22.</w:t>
      </w:r>
    </w:p>
    <w:p w14:paraId="3C6AA0B4" w14:textId="77777777" w:rsidR="00F57831" w:rsidRDefault="00F57831" w:rsidP="00F57831">
      <w:pPr>
        <w:pStyle w:val="ListParagraph"/>
        <w:numPr>
          <w:ilvl w:val="0"/>
          <w:numId w:val="1"/>
        </w:numPr>
        <w:spacing w:line="480" w:lineRule="auto"/>
        <w:ind w:left="0" w:firstLine="0"/>
        <w:jc w:val="both"/>
        <w:rPr>
          <w:lang w:eastAsia="en-US"/>
        </w:rPr>
      </w:pPr>
      <w:r w:rsidRPr="007363A1">
        <w:rPr>
          <w:lang w:eastAsia="en-US"/>
        </w:rPr>
        <w:t>Inadmissibility for serious criminality under</w:t>
      </w:r>
      <w:r>
        <w:rPr>
          <w:lang w:eastAsia="en-US"/>
        </w:rPr>
        <w:t xml:space="preserve"> s</w:t>
      </w:r>
      <w:r w:rsidRPr="007363A1">
        <w:rPr>
          <w:lang w:eastAsia="en-US"/>
        </w:rPr>
        <w:t xml:space="preserve"> 36 also requires consideration of defences. For example, determining the equivalency of foreign and domestic offences requires </w:t>
      </w:r>
      <w:r>
        <w:rPr>
          <w:lang w:eastAsia="en-US"/>
        </w:rPr>
        <w:t xml:space="preserve">a </w:t>
      </w:r>
      <w:r w:rsidRPr="007363A1">
        <w:rPr>
          <w:lang w:eastAsia="en-US"/>
        </w:rPr>
        <w:t>comparison of essential elements, including the defences particular to those offences.</w:t>
      </w:r>
    </w:p>
    <w:p w14:paraId="61A3E7B0" w14:textId="77777777" w:rsidR="00F57831" w:rsidRDefault="00F57831" w:rsidP="00F57831">
      <w:pPr>
        <w:pStyle w:val="NormalWeb"/>
        <w:spacing w:before="0" w:beforeAutospacing="0" w:after="0" w:afterAutospacing="0"/>
        <w:ind w:left="720"/>
      </w:pPr>
      <w:r>
        <w:rPr>
          <w:i/>
          <w:iCs/>
          <w:color w:val="000000"/>
        </w:rPr>
        <w:t>Li v Canada (Citizenship and Immigration</w:t>
      </w:r>
      <w:r>
        <w:rPr>
          <w:color w:val="000000"/>
        </w:rPr>
        <w:t>), 1996 FC 235.</w:t>
      </w:r>
    </w:p>
    <w:p w14:paraId="67FC4405" w14:textId="77777777" w:rsidR="00F57831" w:rsidRDefault="00F57831" w:rsidP="00F57831">
      <w:pPr>
        <w:pStyle w:val="NormalWeb"/>
        <w:spacing w:before="0" w:beforeAutospacing="0" w:after="0" w:afterAutospacing="0"/>
        <w:ind w:left="720"/>
      </w:pPr>
    </w:p>
    <w:p w14:paraId="53CA6209" w14:textId="3B04E4BC" w:rsidR="00F57831" w:rsidRDefault="00F57831" w:rsidP="00F57831">
      <w:pPr>
        <w:pStyle w:val="ListParagraph"/>
        <w:numPr>
          <w:ilvl w:val="0"/>
          <w:numId w:val="1"/>
        </w:numPr>
        <w:spacing w:line="480" w:lineRule="auto"/>
        <w:ind w:left="0" w:firstLine="0"/>
        <w:jc w:val="both"/>
        <w:rPr>
          <w:lang w:eastAsia="en-US"/>
        </w:rPr>
      </w:pPr>
      <w:r>
        <w:rPr>
          <w:lang w:eastAsia="en-US"/>
        </w:rPr>
        <w:t>Finally, the defence of duress is applicable in the context of membership in a criminal organization under s</w:t>
      </w:r>
      <w:r w:rsidR="00F77E3A">
        <w:rPr>
          <w:lang w:eastAsia="en-US"/>
        </w:rPr>
        <w:t>.</w:t>
      </w:r>
      <w:r>
        <w:rPr>
          <w:lang w:eastAsia="en-US"/>
        </w:rPr>
        <w:t xml:space="preserve"> 37.</w:t>
      </w:r>
      <w:r w:rsidRPr="007363A1">
        <w:rPr>
          <w:lang w:eastAsia="en-US"/>
        </w:rPr>
        <w:t xml:space="preserve"> </w:t>
      </w:r>
      <w:r>
        <w:rPr>
          <w:lang w:eastAsia="en-US"/>
        </w:rPr>
        <w:t xml:space="preserve">Here, the Minister unsuccessfully suggested that because there is no explicit mental element required, duress serves no function in the determination of membership.  However, the Court is clear that the defence of duress is not limited to negating mens rea. Where the defence of duress operates to excuse the act of an individual—like for instance, the act of becoming a member of an organization—the mens rea of that act is irrelevant. </w:t>
      </w:r>
    </w:p>
    <w:p w14:paraId="161FD488" w14:textId="77777777" w:rsidR="00F57831" w:rsidRDefault="00F57831" w:rsidP="00F57831">
      <w:pPr>
        <w:pStyle w:val="NormalWeb"/>
        <w:spacing w:before="0" w:beforeAutospacing="0" w:after="0" w:afterAutospacing="0"/>
        <w:ind w:left="720"/>
      </w:pPr>
      <w:r>
        <w:rPr>
          <w:i/>
          <w:iCs/>
          <w:color w:val="000000"/>
        </w:rPr>
        <w:t>Canada (Public Safety and Emergency Preparedness) v Lopez Gayton</w:t>
      </w:r>
      <w:r>
        <w:rPr>
          <w:color w:val="000000"/>
        </w:rPr>
        <w:t>, 2019 FC 1152 at</w:t>
      </w:r>
    </w:p>
    <w:p w14:paraId="5E29100A" w14:textId="6658E9E2" w:rsidR="00F57831" w:rsidRDefault="00F57831" w:rsidP="00F57831">
      <w:pPr>
        <w:pStyle w:val="NormalWeb"/>
        <w:spacing w:before="0" w:beforeAutospacing="0" w:after="0" w:afterAutospacing="0"/>
        <w:ind w:left="720"/>
        <w:rPr>
          <w:color w:val="000000"/>
        </w:rPr>
      </w:pPr>
      <w:r>
        <w:rPr>
          <w:color w:val="000000"/>
        </w:rPr>
        <w:t>paras 28</w:t>
      </w:r>
      <w:r w:rsidR="00D42A51">
        <w:rPr>
          <w:color w:val="000000"/>
        </w:rPr>
        <w:t xml:space="preserve">, </w:t>
      </w:r>
      <w:r>
        <w:rPr>
          <w:color w:val="000000"/>
        </w:rPr>
        <w:t>29 [</w:t>
      </w:r>
      <w:r>
        <w:rPr>
          <w:i/>
          <w:iCs/>
          <w:color w:val="000000"/>
        </w:rPr>
        <w:t>Lopez Gayton</w:t>
      </w:r>
      <w:r>
        <w:rPr>
          <w:color w:val="000000"/>
        </w:rPr>
        <w:t>].</w:t>
      </w:r>
    </w:p>
    <w:p w14:paraId="3A13FD31" w14:textId="77777777" w:rsidR="00D30377" w:rsidRPr="00947062" w:rsidRDefault="00D30377" w:rsidP="00F57831">
      <w:pPr>
        <w:pStyle w:val="NormalWeb"/>
        <w:spacing w:before="0" w:beforeAutospacing="0" w:after="0" w:afterAutospacing="0"/>
        <w:ind w:left="720"/>
      </w:pPr>
    </w:p>
    <w:p w14:paraId="68593708" w14:textId="389748BB" w:rsidR="00F57831" w:rsidRPr="00AF0FCC" w:rsidRDefault="00F57831" w:rsidP="005436EE">
      <w:pPr>
        <w:pStyle w:val="ListParagraph"/>
        <w:numPr>
          <w:ilvl w:val="0"/>
          <w:numId w:val="23"/>
        </w:numPr>
        <w:rPr>
          <w:b/>
          <w:bCs/>
          <w:i/>
          <w:iCs/>
        </w:rPr>
      </w:pPr>
      <w:r w:rsidRPr="00AF0FCC">
        <w:rPr>
          <w:b/>
          <w:bCs/>
          <w:i/>
          <w:iCs/>
        </w:rPr>
        <w:t>Evidence of duress negates membership in Mr Chowdhury’s circumstances</w:t>
      </w:r>
    </w:p>
    <w:p w14:paraId="41A12139" w14:textId="77777777" w:rsidR="00F57831" w:rsidRPr="004E479B" w:rsidRDefault="00F57831" w:rsidP="00F57831">
      <w:pPr>
        <w:pStyle w:val="ListParagraph"/>
        <w:spacing w:before="240" w:after="240"/>
        <w:rPr>
          <w:b/>
          <w:bCs/>
          <w:i/>
          <w:iCs/>
        </w:rPr>
      </w:pPr>
    </w:p>
    <w:p w14:paraId="5D845016" w14:textId="77777777" w:rsidR="00F57831" w:rsidRDefault="00F57831" w:rsidP="00F57831">
      <w:pPr>
        <w:pStyle w:val="ListParagraph"/>
        <w:numPr>
          <w:ilvl w:val="0"/>
          <w:numId w:val="1"/>
        </w:numPr>
        <w:spacing w:line="480" w:lineRule="auto"/>
        <w:ind w:left="0" w:firstLine="0"/>
        <w:jc w:val="both"/>
        <w:rPr>
          <w:lang w:eastAsia="en-US"/>
        </w:rPr>
      </w:pPr>
      <w:r>
        <w:rPr>
          <w:lang w:eastAsia="en-US"/>
        </w:rPr>
        <w:t xml:space="preserve">The Appellants maintain that Mr Chowdhury’s circumstances do not satisfy the </w:t>
      </w:r>
      <w:r>
        <w:rPr>
          <w:i/>
          <w:iCs/>
          <w:lang w:eastAsia="en-US"/>
        </w:rPr>
        <w:t xml:space="preserve">Ryan </w:t>
      </w:r>
      <w:r>
        <w:rPr>
          <w:lang w:eastAsia="en-US"/>
        </w:rPr>
        <w:t xml:space="preserve">test for the defence of duress. The test requires, among other things: an explicit threat of bodily harm, no safe avenue of escape, and proportionality between the harm threatened and the harm inflicted by the accused. The latter two requirements are assessed on a modified objective standard, meaning that the personal circumstances of the accused must be taken into account. </w:t>
      </w:r>
    </w:p>
    <w:p w14:paraId="380147AA" w14:textId="77777777" w:rsidR="00F57831" w:rsidRDefault="00F57831" w:rsidP="00F57831">
      <w:pPr>
        <w:pStyle w:val="ListParagraph"/>
        <w:spacing w:line="480" w:lineRule="auto"/>
        <w:ind w:left="0" w:firstLine="720"/>
        <w:jc w:val="both"/>
        <w:rPr>
          <w:lang w:eastAsia="en-US"/>
        </w:rPr>
      </w:pPr>
      <w:r w:rsidRPr="009F2D88">
        <w:rPr>
          <w:i/>
          <w:iCs/>
          <w:lang w:eastAsia="en-US"/>
        </w:rPr>
        <w:t xml:space="preserve">R v Ryan, </w:t>
      </w:r>
      <w:r w:rsidRPr="00896265">
        <w:rPr>
          <w:lang w:eastAsia="en-US"/>
        </w:rPr>
        <w:t>2013 SCC 3</w:t>
      </w:r>
      <w:r>
        <w:rPr>
          <w:lang w:eastAsia="en-US"/>
        </w:rPr>
        <w:t xml:space="preserve"> at para 55 [</w:t>
      </w:r>
      <w:r w:rsidRPr="004B1BF6">
        <w:rPr>
          <w:i/>
          <w:iCs/>
          <w:lang w:eastAsia="en-US"/>
        </w:rPr>
        <w:t>Ryan</w:t>
      </w:r>
      <w:r>
        <w:rPr>
          <w:lang w:eastAsia="en-US"/>
        </w:rPr>
        <w:t>].</w:t>
      </w:r>
    </w:p>
    <w:p w14:paraId="24271F46" w14:textId="7CF37E67" w:rsidR="00F57831" w:rsidRDefault="00F57831" w:rsidP="00F57831">
      <w:pPr>
        <w:pStyle w:val="ListParagraph"/>
        <w:numPr>
          <w:ilvl w:val="0"/>
          <w:numId w:val="1"/>
        </w:numPr>
        <w:spacing w:line="480" w:lineRule="auto"/>
        <w:ind w:left="0" w:firstLine="0"/>
        <w:jc w:val="both"/>
        <w:rPr>
          <w:lang w:eastAsia="en-US"/>
        </w:rPr>
      </w:pPr>
      <w:r>
        <w:rPr>
          <w:lang w:eastAsia="en-US"/>
        </w:rPr>
        <w:t>Mr</w:t>
      </w:r>
      <w:r w:rsidR="00F77E3A">
        <w:rPr>
          <w:lang w:eastAsia="en-US"/>
        </w:rPr>
        <w:t>.</w:t>
      </w:r>
      <w:r>
        <w:rPr>
          <w:lang w:eastAsia="en-US"/>
        </w:rPr>
        <w:t xml:space="preserve"> Chowdhury’s formal</w:t>
      </w:r>
      <w:r w:rsidRPr="007363A1">
        <w:rPr>
          <w:lang w:eastAsia="en-US"/>
        </w:rPr>
        <w:t xml:space="preserve"> membership</w:t>
      </w:r>
      <w:r>
        <w:rPr>
          <w:lang w:eastAsia="en-US"/>
        </w:rPr>
        <w:t xml:space="preserve"> in the period between December 2013 and February 2014 </w:t>
      </w:r>
      <w:r w:rsidRPr="007363A1">
        <w:rPr>
          <w:lang w:eastAsia="en-US"/>
        </w:rPr>
        <w:t xml:space="preserve">was a result of </w:t>
      </w:r>
      <w:r>
        <w:rPr>
          <w:lang w:eastAsia="en-US"/>
        </w:rPr>
        <w:t>duress.</w:t>
      </w:r>
      <w:r w:rsidRPr="007363A1">
        <w:rPr>
          <w:lang w:eastAsia="en-US"/>
        </w:rPr>
        <w:t xml:space="preserve"> </w:t>
      </w:r>
      <w:r>
        <w:rPr>
          <w:lang w:eastAsia="en-US"/>
        </w:rPr>
        <w:t>A</w:t>
      </w:r>
      <w:r w:rsidRPr="007363A1">
        <w:rPr>
          <w:lang w:eastAsia="en-US"/>
        </w:rPr>
        <w:t xml:space="preserve"> senior official of the BNP </w:t>
      </w:r>
      <w:r>
        <w:rPr>
          <w:lang w:eastAsia="en-US"/>
        </w:rPr>
        <w:t>threatened to</w:t>
      </w:r>
      <w:r w:rsidRPr="007363A1">
        <w:rPr>
          <w:lang w:eastAsia="en-US"/>
        </w:rPr>
        <w:t xml:space="preserve"> expose </w:t>
      </w:r>
      <w:r>
        <w:rPr>
          <w:lang w:eastAsia="en-US"/>
        </w:rPr>
        <w:t>Mr</w:t>
      </w:r>
      <w:r w:rsidR="00F77E3A">
        <w:rPr>
          <w:lang w:eastAsia="en-US"/>
        </w:rPr>
        <w:t>.</w:t>
      </w:r>
      <w:r>
        <w:rPr>
          <w:lang w:eastAsia="en-US"/>
        </w:rPr>
        <w:t xml:space="preserve"> Chowdhury’s</w:t>
      </w:r>
      <w:r w:rsidRPr="007363A1">
        <w:rPr>
          <w:lang w:eastAsia="en-US"/>
        </w:rPr>
        <w:t xml:space="preserve"> </w:t>
      </w:r>
      <w:r>
        <w:rPr>
          <w:lang w:eastAsia="en-US"/>
        </w:rPr>
        <w:t>sexuality</w:t>
      </w:r>
      <w:r w:rsidRPr="007363A1">
        <w:rPr>
          <w:lang w:eastAsia="en-US"/>
        </w:rPr>
        <w:t xml:space="preserve"> to his wife</w:t>
      </w:r>
      <w:r>
        <w:rPr>
          <w:lang w:eastAsia="en-US"/>
        </w:rPr>
        <w:t>. Mr</w:t>
      </w:r>
      <w:r w:rsidR="00F77E3A">
        <w:rPr>
          <w:lang w:eastAsia="en-US"/>
        </w:rPr>
        <w:t>.</w:t>
      </w:r>
      <w:r>
        <w:rPr>
          <w:lang w:eastAsia="en-US"/>
        </w:rPr>
        <w:t xml:space="preserve"> Chowdhury’s circumstances contextualize the seriousness of his experience of duress. Homophobic social norms in Bangladesh have prevented Mr</w:t>
      </w:r>
      <w:r w:rsidR="00F77E3A">
        <w:rPr>
          <w:lang w:eastAsia="en-US"/>
        </w:rPr>
        <w:t>.</w:t>
      </w:r>
      <w:r>
        <w:rPr>
          <w:lang w:eastAsia="en-US"/>
        </w:rPr>
        <w:t xml:space="preserve"> Chowdhury from living as an openly gay man. Mr</w:t>
      </w:r>
      <w:r w:rsidR="00F77E3A">
        <w:rPr>
          <w:lang w:eastAsia="en-US"/>
        </w:rPr>
        <w:t>.</w:t>
      </w:r>
      <w:r>
        <w:rPr>
          <w:lang w:eastAsia="en-US"/>
        </w:rPr>
        <w:t xml:space="preserve"> Chowdhury’s wife does not know that he is gay, and he fears losing his son should she be informed. Furthermore, Mr</w:t>
      </w:r>
      <w:r w:rsidR="00F77E3A">
        <w:rPr>
          <w:lang w:eastAsia="en-US"/>
        </w:rPr>
        <w:t>.</w:t>
      </w:r>
      <w:r>
        <w:rPr>
          <w:lang w:eastAsia="en-US"/>
        </w:rPr>
        <w:t xml:space="preserve"> Chowdhury has received threats from Muslim fundamentalists as a result of his work in women’s rights. Mr</w:t>
      </w:r>
      <w:r w:rsidR="00F77E3A">
        <w:rPr>
          <w:lang w:eastAsia="en-US"/>
        </w:rPr>
        <w:t>.</w:t>
      </w:r>
      <w:r>
        <w:rPr>
          <w:lang w:eastAsia="en-US"/>
        </w:rPr>
        <w:t xml:space="preserve"> Chowdhury’s reality is thus one of heightened scrutiny and fear. These circumstances significantly constrain his ability to act freely and voluntarily. </w:t>
      </w:r>
    </w:p>
    <w:p w14:paraId="0BE78418" w14:textId="5789FF06" w:rsidR="00F57831" w:rsidRDefault="00F57831" w:rsidP="00F57831">
      <w:pPr>
        <w:pStyle w:val="NormalWeb"/>
        <w:spacing w:before="0" w:beforeAutospacing="0" w:after="0" w:afterAutospacing="0"/>
        <w:ind w:left="720"/>
      </w:pPr>
      <w:r>
        <w:rPr>
          <w:color w:val="000000"/>
        </w:rPr>
        <w:t>Officer’s reasons at paras 4</w:t>
      </w:r>
      <w:r w:rsidR="00D42A51">
        <w:rPr>
          <w:color w:val="000000"/>
        </w:rPr>
        <w:t xml:space="preserve">, </w:t>
      </w:r>
      <w:r>
        <w:rPr>
          <w:color w:val="000000"/>
        </w:rPr>
        <w:t>5, 17.</w:t>
      </w:r>
    </w:p>
    <w:p w14:paraId="4BC34105" w14:textId="77777777" w:rsidR="00F57831" w:rsidRDefault="00F57831" w:rsidP="00F57831">
      <w:pPr>
        <w:pStyle w:val="NormalWeb"/>
        <w:spacing w:before="0" w:beforeAutospacing="0" w:after="0" w:afterAutospacing="0"/>
        <w:ind w:left="720"/>
      </w:pPr>
    </w:p>
    <w:p w14:paraId="1CA22E6A" w14:textId="77777777" w:rsidR="00F57831" w:rsidRDefault="00F57831" w:rsidP="00F57831">
      <w:pPr>
        <w:pStyle w:val="ListParagraph"/>
        <w:numPr>
          <w:ilvl w:val="0"/>
          <w:numId w:val="1"/>
        </w:numPr>
        <w:spacing w:line="480" w:lineRule="auto"/>
        <w:ind w:left="0" w:firstLine="0"/>
        <w:jc w:val="both"/>
        <w:rPr>
          <w:lang w:eastAsia="en-US"/>
        </w:rPr>
      </w:pPr>
      <w:r>
        <w:rPr>
          <w:lang w:eastAsia="en-US"/>
        </w:rPr>
        <w:t>The Officer failed to account for evidence of duress, demonstrating an unreasonable assessment of the facts. It is well established that the</w:t>
      </w:r>
      <w:r w:rsidRPr="007363A1">
        <w:rPr>
          <w:lang w:eastAsia="en-US"/>
        </w:rPr>
        <w:t xml:space="preserve"> test for membership requires a fact-based assessment of the evidence of a person’s conduct and intentio</w:t>
      </w:r>
      <w:r>
        <w:rPr>
          <w:lang w:eastAsia="en-US"/>
        </w:rPr>
        <w:t xml:space="preserve">n, including </w:t>
      </w:r>
      <w:r w:rsidRPr="007363A1">
        <w:rPr>
          <w:lang w:eastAsia="en-US"/>
        </w:rPr>
        <w:t>evidence of duress</w:t>
      </w:r>
      <w:r>
        <w:rPr>
          <w:lang w:eastAsia="en-US"/>
        </w:rPr>
        <w:t>.</w:t>
      </w:r>
      <w:r w:rsidRPr="007363A1">
        <w:rPr>
          <w:lang w:eastAsia="en-US"/>
        </w:rPr>
        <w:t xml:space="preserve"> </w:t>
      </w:r>
      <w:r>
        <w:rPr>
          <w:lang w:eastAsia="en-US"/>
        </w:rPr>
        <w:t>Further, t</w:t>
      </w:r>
      <w:r w:rsidRPr="007363A1">
        <w:rPr>
          <w:lang w:eastAsia="en-US"/>
        </w:rPr>
        <w:t xml:space="preserve">he Immigration Board </w:t>
      </w:r>
      <w:r>
        <w:rPr>
          <w:lang w:eastAsia="en-US"/>
        </w:rPr>
        <w:t>is obligated to deal</w:t>
      </w:r>
      <w:r w:rsidRPr="007363A1">
        <w:rPr>
          <w:lang w:eastAsia="en-US"/>
        </w:rPr>
        <w:t xml:space="preserve"> with evidence </w:t>
      </w:r>
      <w:r>
        <w:rPr>
          <w:lang w:eastAsia="en-US"/>
        </w:rPr>
        <w:t>that</w:t>
      </w:r>
      <w:r w:rsidRPr="007363A1">
        <w:rPr>
          <w:lang w:eastAsia="en-US"/>
        </w:rPr>
        <w:t xml:space="preserve"> is inconsistent with or casts doubt on its evidentiary findings, including evidence of duress.</w:t>
      </w:r>
    </w:p>
    <w:p w14:paraId="14DB6AEF" w14:textId="44E1A706" w:rsidR="00F57831" w:rsidRDefault="00F57831" w:rsidP="00F57831">
      <w:pPr>
        <w:pStyle w:val="NormalWeb"/>
        <w:spacing w:before="0" w:beforeAutospacing="0" w:after="0" w:afterAutospacing="0"/>
        <w:ind w:left="720"/>
      </w:pPr>
      <w:r>
        <w:rPr>
          <w:i/>
          <w:iCs/>
          <w:color w:val="000000"/>
        </w:rPr>
        <w:t>TK v Canada (Public Safety and Emergency Preparedness),</w:t>
      </w:r>
      <w:r>
        <w:rPr>
          <w:color w:val="000000"/>
        </w:rPr>
        <w:t xml:space="preserve"> 2013 FC 327 at paras 91</w:t>
      </w:r>
      <w:r w:rsidR="00D42A51">
        <w:rPr>
          <w:color w:val="000000"/>
        </w:rPr>
        <w:t xml:space="preserve">, </w:t>
      </w:r>
      <w:r>
        <w:rPr>
          <w:color w:val="000000"/>
        </w:rPr>
        <w:t>92</w:t>
      </w:r>
      <w:r w:rsidR="00D42A51">
        <w:rPr>
          <w:color w:val="000000"/>
        </w:rPr>
        <w:t xml:space="preserve">, </w:t>
      </w:r>
      <w:r>
        <w:rPr>
          <w:color w:val="000000"/>
        </w:rPr>
        <w:t>114.</w:t>
      </w:r>
    </w:p>
    <w:p w14:paraId="40A1FECF" w14:textId="225B8030" w:rsidR="00F57831" w:rsidRDefault="00F57831" w:rsidP="00F57831">
      <w:pPr>
        <w:pStyle w:val="NormalWeb"/>
        <w:spacing w:before="0" w:beforeAutospacing="0" w:after="0" w:afterAutospacing="0"/>
        <w:ind w:left="720"/>
        <w:rPr>
          <w:color w:val="000000"/>
        </w:rPr>
      </w:pPr>
      <w:r>
        <w:rPr>
          <w:i/>
          <w:iCs/>
          <w:color w:val="000000"/>
        </w:rPr>
        <w:t>Thiyagarajah,</w:t>
      </w:r>
      <w:r>
        <w:rPr>
          <w:color w:val="000000"/>
        </w:rPr>
        <w:t xml:space="preserve"> </w:t>
      </w:r>
      <w:r w:rsidR="004A7763">
        <w:rPr>
          <w:i/>
          <w:iCs/>
          <w:color w:val="000000"/>
        </w:rPr>
        <w:t>supra</w:t>
      </w:r>
      <w:r w:rsidR="004A7763">
        <w:rPr>
          <w:color w:val="000000"/>
        </w:rPr>
        <w:t xml:space="preserve"> para 31</w:t>
      </w:r>
      <w:r>
        <w:rPr>
          <w:color w:val="000000"/>
        </w:rPr>
        <w:t xml:space="preserve"> at para 20.</w:t>
      </w:r>
    </w:p>
    <w:p w14:paraId="0925694B" w14:textId="77777777" w:rsidR="005436EE" w:rsidRPr="006F2EB4" w:rsidRDefault="005436EE" w:rsidP="00F57831">
      <w:pPr>
        <w:pStyle w:val="NormalWeb"/>
        <w:spacing w:before="0" w:beforeAutospacing="0" w:after="0" w:afterAutospacing="0"/>
        <w:ind w:left="720"/>
        <w:rPr>
          <w:color w:val="000000"/>
        </w:rPr>
      </w:pPr>
    </w:p>
    <w:p w14:paraId="21B91694" w14:textId="718E0244" w:rsidR="00F57831" w:rsidRDefault="00F57831" w:rsidP="005436EE">
      <w:pPr>
        <w:pStyle w:val="ListParagraph"/>
        <w:numPr>
          <w:ilvl w:val="0"/>
          <w:numId w:val="23"/>
        </w:numPr>
        <w:rPr>
          <w:b/>
          <w:bCs/>
          <w:i/>
          <w:iCs/>
        </w:rPr>
      </w:pPr>
      <w:r w:rsidRPr="00223B1E">
        <w:rPr>
          <w:b/>
          <w:bCs/>
          <w:i/>
          <w:iCs/>
        </w:rPr>
        <w:t xml:space="preserve">The consideration of duress is not limited to an application for </w:t>
      </w:r>
      <w:r w:rsidR="00F77E3A">
        <w:rPr>
          <w:b/>
          <w:bCs/>
          <w:i/>
          <w:iCs/>
        </w:rPr>
        <w:t>m</w:t>
      </w:r>
      <w:r w:rsidRPr="00223B1E">
        <w:rPr>
          <w:b/>
          <w:bCs/>
          <w:i/>
          <w:iCs/>
        </w:rPr>
        <w:t>inisterial relief</w:t>
      </w:r>
    </w:p>
    <w:p w14:paraId="54A3FB43" w14:textId="77777777" w:rsidR="00F57831" w:rsidRPr="00384CF7" w:rsidRDefault="00F57831" w:rsidP="00F57831">
      <w:pPr>
        <w:pStyle w:val="ListParagraph"/>
        <w:spacing w:before="240" w:after="240"/>
        <w:rPr>
          <w:b/>
          <w:bCs/>
          <w:i/>
          <w:iCs/>
        </w:rPr>
      </w:pPr>
    </w:p>
    <w:p w14:paraId="31EB2ED4" w14:textId="5EBBDA5F" w:rsidR="00F57831" w:rsidRPr="00BC3209" w:rsidRDefault="00F57831" w:rsidP="00F57831">
      <w:pPr>
        <w:pStyle w:val="ListParagraph"/>
        <w:numPr>
          <w:ilvl w:val="0"/>
          <w:numId w:val="1"/>
        </w:numPr>
        <w:spacing w:before="240" w:after="240" w:line="480" w:lineRule="auto"/>
        <w:ind w:left="0" w:firstLine="0"/>
        <w:jc w:val="both"/>
      </w:pPr>
      <w:r w:rsidRPr="00BC3209">
        <w:t>As explained at paragraphs</w:t>
      </w:r>
      <w:r>
        <w:t xml:space="preserve"> </w:t>
      </w:r>
      <w:r w:rsidR="00675639">
        <w:t>56-60</w:t>
      </w:r>
      <w:r w:rsidRPr="00BC3209">
        <w:t xml:space="preserve">, an application for </w:t>
      </w:r>
      <w:r w:rsidR="00F77E3A">
        <w:t>m</w:t>
      </w:r>
      <w:r w:rsidRPr="00BC3209">
        <w:t xml:space="preserve">inisterial relief is inadequate as a form of recourse against inadmissibility. The non-delegable and discretionary nature of </w:t>
      </w:r>
      <w:r w:rsidR="00F77E3A">
        <w:t>m</w:t>
      </w:r>
      <w:r w:rsidRPr="00BC3209">
        <w:t xml:space="preserve">inisterial relief renders it inaccessible. Furthermore, even if relief is granted, it can take an unreasonably long time. The harm associated with such a wait is severe, including risks of deportation and family separation. </w:t>
      </w:r>
    </w:p>
    <w:p w14:paraId="26704DAA" w14:textId="02000D17" w:rsidR="00F57831" w:rsidRDefault="00F57831" w:rsidP="00F57831">
      <w:pPr>
        <w:pStyle w:val="ListParagraph"/>
        <w:spacing w:before="240" w:after="240"/>
        <w:jc w:val="both"/>
      </w:pPr>
      <w:r w:rsidRPr="00BC3209">
        <w:t xml:space="preserve">Factum of the Respondent for </w:t>
      </w:r>
      <w:r w:rsidRPr="00BC3209">
        <w:rPr>
          <w:i/>
          <w:iCs/>
        </w:rPr>
        <w:t>Chowdhury v Canada (Minister of Citizenship and Immigration)</w:t>
      </w:r>
      <w:r w:rsidRPr="00BC3209">
        <w:t>, 2020 FC 1987 at paras 5</w:t>
      </w:r>
      <w:r w:rsidR="00B670D2">
        <w:t>6</w:t>
      </w:r>
      <w:r w:rsidRPr="00BC3209">
        <w:t>-</w:t>
      </w:r>
      <w:r w:rsidR="00B670D2">
        <w:t>60</w:t>
      </w:r>
      <w:r w:rsidRPr="00BC3209">
        <w:t xml:space="preserve">. </w:t>
      </w:r>
    </w:p>
    <w:p w14:paraId="3D6033A5" w14:textId="77777777" w:rsidR="00F57831" w:rsidRDefault="00F57831" w:rsidP="00F57831">
      <w:pPr>
        <w:pStyle w:val="ListParagraph"/>
        <w:spacing w:before="240" w:after="240"/>
        <w:jc w:val="both"/>
      </w:pPr>
    </w:p>
    <w:p w14:paraId="2EAA2652" w14:textId="67B567D2" w:rsidR="00F57831" w:rsidRDefault="00F57831" w:rsidP="00F57831">
      <w:pPr>
        <w:pStyle w:val="ListParagraph"/>
        <w:numPr>
          <w:ilvl w:val="0"/>
          <w:numId w:val="1"/>
        </w:numPr>
        <w:spacing w:before="240" w:after="240" w:line="480" w:lineRule="auto"/>
        <w:ind w:left="0" w:firstLine="0"/>
        <w:jc w:val="both"/>
      </w:pPr>
      <w:r w:rsidRPr="00F97635">
        <w:t>The</w:t>
      </w:r>
      <w:r>
        <w:t xml:space="preserve"> current </w:t>
      </w:r>
      <w:r w:rsidR="00F77E3A">
        <w:t>m</w:t>
      </w:r>
      <w:r w:rsidRPr="00F97635">
        <w:t>inisterial relief provision is more restrict</w:t>
      </w:r>
      <w:r>
        <w:t>ive</w:t>
      </w:r>
      <w:r w:rsidRPr="00F97635">
        <w:t xml:space="preserve"> than its predecessor. This is a result of amendments introduced in 2013. Pursuant to s</w:t>
      </w:r>
      <w:r w:rsidR="00F77E3A">
        <w:t>.</w:t>
      </w:r>
      <w:r w:rsidRPr="00F97635">
        <w:t xml:space="preserve"> 42.1(3), the Minister is now only able to take into account “national security and public safety considerations” in making a determination. Additionally, amendments to s</w:t>
      </w:r>
      <w:r w:rsidR="00F77E3A">
        <w:t>.</w:t>
      </w:r>
      <w:r w:rsidRPr="00F97635">
        <w:t xml:space="preserve"> 25 explicitly deny humanitarian and compassionate relief to persons found inadmissible on grounds of security. </w:t>
      </w:r>
    </w:p>
    <w:p w14:paraId="508CE869" w14:textId="7203ABBC" w:rsidR="00F57831" w:rsidRPr="00BC3209" w:rsidRDefault="00F57831" w:rsidP="00F57831">
      <w:pPr>
        <w:pStyle w:val="ListParagraph"/>
        <w:spacing w:before="240" w:after="240" w:line="480" w:lineRule="auto"/>
        <w:ind w:left="0" w:firstLine="720"/>
        <w:jc w:val="both"/>
        <w:rPr>
          <w:rFonts w:asciiTheme="majorBidi" w:hAnsiTheme="majorBidi" w:cstheme="majorBidi"/>
        </w:rPr>
      </w:pPr>
      <w:r w:rsidRPr="00BC3209">
        <w:rPr>
          <w:rFonts w:asciiTheme="majorBidi" w:hAnsiTheme="majorBidi" w:cstheme="majorBidi"/>
          <w:i/>
          <w:iCs/>
        </w:rPr>
        <w:t>IRPA</w:t>
      </w:r>
      <w:r w:rsidRPr="00BC3209">
        <w:rPr>
          <w:rFonts w:asciiTheme="majorBidi" w:hAnsiTheme="majorBidi" w:cstheme="majorBidi"/>
        </w:rPr>
        <w:t>,</w:t>
      </w:r>
      <w:r w:rsidRPr="00BC3209">
        <w:rPr>
          <w:rFonts w:asciiTheme="majorBidi" w:hAnsiTheme="majorBidi" w:cstheme="majorBidi"/>
          <w:i/>
          <w:iCs/>
        </w:rPr>
        <w:t xml:space="preserve"> supra</w:t>
      </w:r>
      <w:r>
        <w:rPr>
          <w:rFonts w:asciiTheme="majorBidi" w:hAnsiTheme="majorBidi" w:cstheme="majorBidi"/>
          <w:i/>
          <w:iCs/>
        </w:rPr>
        <w:t xml:space="preserve"> </w:t>
      </w:r>
      <w:r>
        <w:rPr>
          <w:rFonts w:asciiTheme="majorBidi" w:hAnsiTheme="majorBidi" w:cstheme="majorBidi"/>
        </w:rPr>
        <w:t>para 2</w:t>
      </w:r>
      <w:r w:rsidR="00D42A51">
        <w:rPr>
          <w:rFonts w:asciiTheme="majorBidi" w:hAnsiTheme="majorBidi" w:cstheme="majorBidi"/>
        </w:rPr>
        <w:t>1</w:t>
      </w:r>
      <w:r>
        <w:rPr>
          <w:rFonts w:asciiTheme="majorBidi" w:hAnsiTheme="majorBidi" w:cstheme="majorBidi"/>
        </w:rPr>
        <w:t xml:space="preserve"> s</w:t>
      </w:r>
      <w:r w:rsidR="00D42A51">
        <w:rPr>
          <w:rFonts w:asciiTheme="majorBidi" w:hAnsiTheme="majorBidi" w:cstheme="majorBidi"/>
        </w:rPr>
        <w:t>s</w:t>
      </w:r>
      <w:r>
        <w:rPr>
          <w:rFonts w:asciiTheme="majorBidi" w:hAnsiTheme="majorBidi" w:cstheme="majorBidi"/>
        </w:rPr>
        <w:t xml:space="preserve"> </w:t>
      </w:r>
      <w:r w:rsidR="00D42A51">
        <w:rPr>
          <w:rFonts w:asciiTheme="majorBidi" w:hAnsiTheme="majorBidi" w:cstheme="majorBidi"/>
        </w:rPr>
        <w:t xml:space="preserve">25, </w:t>
      </w:r>
      <w:r>
        <w:rPr>
          <w:rFonts w:asciiTheme="majorBidi" w:hAnsiTheme="majorBidi" w:cstheme="majorBidi"/>
        </w:rPr>
        <w:t>42.1(3).</w:t>
      </w:r>
    </w:p>
    <w:p w14:paraId="48BCEF11" w14:textId="77777777" w:rsidR="00F57831" w:rsidRPr="00F97635" w:rsidRDefault="00F57831" w:rsidP="00F57831">
      <w:pPr>
        <w:pStyle w:val="ListParagraph"/>
        <w:numPr>
          <w:ilvl w:val="0"/>
          <w:numId w:val="1"/>
        </w:numPr>
        <w:spacing w:before="240" w:after="240" w:line="480" w:lineRule="auto"/>
        <w:ind w:left="0" w:firstLine="0"/>
        <w:jc w:val="both"/>
      </w:pPr>
      <w:r w:rsidRPr="00F97635">
        <w:t xml:space="preserve">The Canadian Bar Association was clear in its objection to the amendments. Of particular concern was the diminished ability to overcome inadmissibility without humanitarian and compassionate relief: “Ministerial discretion to consider humanitarian factors plays an important role in balancing the breadth of the inadmissibility sections with positive personal considerations. This amendment is inconsistent with basic Canadian values of fairness and due process.” </w:t>
      </w:r>
    </w:p>
    <w:p w14:paraId="132C40BC" w14:textId="77777777" w:rsidR="00F57831" w:rsidRPr="002E44E0" w:rsidRDefault="00F57831" w:rsidP="00F57831">
      <w:pPr>
        <w:pStyle w:val="ListParagraph"/>
        <w:jc w:val="both"/>
        <w:rPr>
          <w:lang w:eastAsia="en-US"/>
        </w:rPr>
      </w:pPr>
      <w:r>
        <w:rPr>
          <w:lang w:eastAsia="en-US"/>
        </w:rPr>
        <w:t xml:space="preserve">Sharryn Aiken et al, </w:t>
      </w:r>
      <w:r>
        <w:rPr>
          <w:i/>
          <w:iCs/>
          <w:lang w:eastAsia="en-US"/>
        </w:rPr>
        <w:t xml:space="preserve">Immigration and Refugee Law: Cases, Materials, and Commentary, </w:t>
      </w:r>
      <w:r>
        <w:rPr>
          <w:lang w:eastAsia="en-US"/>
        </w:rPr>
        <w:t>3</w:t>
      </w:r>
      <w:r w:rsidRPr="00CE57F9">
        <w:rPr>
          <w:vertAlign w:val="superscript"/>
          <w:lang w:eastAsia="en-US"/>
        </w:rPr>
        <w:t>rd</w:t>
      </w:r>
      <w:r>
        <w:rPr>
          <w:lang w:eastAsia="en-US"/>
        </w:rPr>
        <w:t xml:space="preserve"> ed (Toronto: Emond Montgomery Publications Limited, 2020) at 415.</w:t>
      </w:r>
    </w:p>
    <w:p w14:paraId="23BC32CE" w14:textId="77777777" w:rsidR="00F57831" w:rsidRDefault="00F57831" w:rsidP="00F57831">
      <w:pPr>
        <w:pStyle w:val="ListParagraph"/>
        <w:spacing w:before="240" w:after="240"/>
        <w:jc w:val="both"/>
        <w:rPr>
          <w:b/>
          <w:bCs/>
        </w:rPr>
      </w:pPr>
    </w:p>
    <w:p w14:paraId="05F5DFC2" w14:textId="355CC00D" w:rsidR="00F57831" w:rsidRDefault="00F57831" w:rsidP="00F57831">
      <w:pPr>
        <w:pStyle w:val="ListParagraph"/>
        <w:numPr>
          <w:ilvl w:val="0"/>
          <w:numId w:val="1"/>
        </w:numPr>
        <w:spacing w:before="240" w:after="240" w:line="480" w:lineRule="auto"/>
        <w:ind w:left="0" w:firstLine="0"/>
        <w:jc w:val="both"/>
      </w:pPr>
      <w:r w:rsidRPr="00F97635">
        <w:t xml:space="preserve">The new restrictions on the availability and scope of </w:t>
      </w:r>
      <w:r>
        <w:t xml:space="preserve">recourse </w:t>
      </w:r>
      <w:r w:rsidRPr="00F97635">
        <w:t xml:space="preserve">make it more clear than ever </w:t>
      </w:r>
      <w:r>
        <w:t>that an overly broad interpretation of membership is dangerous. E</w:t>
      </w:r>
      <w:r w:rsidRPr="00F97635">
        <w:t xml:space="preserve">vidence of duress must be considered in the inadmissibility proceeding itself. </w:t>
      </w:r>
      <w:r w:rsidRPr="00F97635">
        <w:rPr>
          <w:lang w:eastAsia="en-US"/>
        </w:rPr>
        <w:t xml:space="preserve">To limit an assessment of duress to an application for </w:t>
      </w:r>
      <w:r w:rsidR="00F77E3A">
        <w:rPr>
          <w:lang w:eastAsia="en-US"/>
        </w:rPr>
        <w:t>m</w:t>
      </w:r>
      <w:r w:rsidRPr="00F97635">
        <w:rPr>
          <w:lang w:eastAsia="en-US"/>
        </w:rPr>
        <w:t>inisterial relief would only perpetuate harm</w:t>
      </w:r>
      <w:r>
        <w:rPr>
          <w:lang w:eastAsia="en-US"/>
        </w:rPr>
        <w:t>.</w:t>
      </w:r>
    </w:p>
    <w:p w14:paraId="4495BD90" w14:textId="409F8A85" w:rsidR="00F57831" w:rsidRPr="00F97635" w:rsidRDefault="00F57831" w:rsidP="00F57831">
      <w:pPr>
        <w:pStyle w:val="ListParagraph"/>
        <w:numPr>
          <w:ilvl w:val="0"/>
          <w:numId w:val="1"/>
        </w:numPr>
        <w:spacing w:before="240" w:after="240" w:line="480" w:lineRule="auto"/>
        <w:ind w:left="0" w:firstLine="0"/>
        <w:jc w:val="both"/>
      </w:pPr>
      <w:r w:rsidRPr="00F97635">
        <w:t xml:space="preserve">In any event, the case law is clear that the ability to raise factors of duress in an application for </w:t>
      </w:r>
      <w:r w:rsidR="00C20C00">
        <w:t>m</w:t>
      </w:r>
      <w:r w:rsidRPr="00F97635">
        <w:t xml:space="preserve">inisterial relief does not preclude the applicant from raising duress in an inadmissibility proceeding. The Federal Court and Federal Court of Appeal have heard arguments that the jurisdiction to consider the defence of duress rests solely in an application for </w:t>
      </w:r>
      <w:r w:rsidR="00C20C00">
        <w:t>m</w:t>
      </w:r>
      <w:r w:rsidRPr="00F97635">
        <w:t>inisterial relief. In these cases, the Minister argued that to consider evidence of duress in an inadmissibility proceeding would be to deprive s</w:t>
      </w:r>
      <w:r w:rsidR="00F77E3A">
        <w:t>.</w:t>
      </w:r>
      <w:r w:rsidRPr="00F97635">
        <w:t xml:space="preserve"> 42.1(1) of its function. These arguments have been firmly rejected. The defence has consistently been found applicable in inadmissibility proceedings. Courts have not held that duress or coercion may not be raised at an inadmissibility hearing. </w:t>
      </w:r>
    </w:p>
    <w:p w14:paraId="3F961DF8" w14:textId="7BBF549C" w:rsidR="00F57831" w:rsidRDefault="00F57831" w:rsidP="00F57831">
      <w:pPr>
        <w:pStyle w:val="ListParagraph"/>
        <w:spacing w:before="240" w:after="240"/>
        <w:jc w:val="both"/>
      </w:pPr>
      <w:r>
        <w:rPr>
          <w:i/>
          <w:iCs/>
        </w:rPr>
        <w:t xml:space="preserve">Lopez Gayton, supra </w:t>
      </w:r>
      <w:r w:rsidRPr="00BC3209">
        <w:t>para 9</w:t>
      </w:r>
      <w:r w:rsidR="00551176">
        <w:t>3</w:t>
      </w:r>
      <w:r>
        <w:rPr>
          <w:i/>
          <w:iCs/>
        </w:rPr>
        <w:t xml:space="preserve"> </w:t>
      </w:r>
      <w:r>
        <w:t xml:space="preserve">at paras 18-24. </w:t>
      </w:r>
    </w:p>
    <w:p w14:paraId="7A816145" w14:textId="0B1662A6" w:rsidR="007B41E8" w:rsidRDefault="00F57831" w:rsidP="007B41E8">
      <w:pPr>
        <w:pStyle w:val="ListParagraph"/>
        <w:spacing w:before="240" w:after="240"/>
        <w:ind w:left="0" w:firstLine="720"/>
        <w:jc w:val="both"/>
      </w:pPr>
      <w:r>
        <w:rPr>
          <w:i/>
          <w:iCs/>
        </w:rPr>
        <w:t xml:space="preserve">B006, supra </w:t>
      </w:r>
      <w:r w:rsidRPr="00BC3209">
        <w:t>para 2</w:t>
      </w:r>
      <w:r w:rsidR="00D205EA">
        <w:t>9</w:t>
      </w:r>
      <w:r>
        <w:t xml:space="preserve"> at paras 98-103.</w:t>
      </w:r>
    </w:p>
    <w:p w14:paraId="1392B716" w14:textId="77777777" w:rsidR="007B41E8" w:rsidRPr="007B41E8" w:rsidRDefault="007B41E8" w:rsidP="007B41E8">
      <w:pPr>
        <w:pStyle w:val="ListParagraph"/>
        <w:spacing w:before="240" w:after="240"/>
        <w:ind w:left="0" w:firstLine="720"/>
        <w:jc w:val="both"/>
      </w:pPr>
    </w:p>
    <w:p w14:paraId="4DE5298B" w14:textId="750D5346" w:rsidR="00F57831" w:rsidRPr="00ED38AC" w:rsidRDefault="00F57831" w:rsidP="00F57831">
      <w:pPr>
        <w:spacing w:before="160" w:after="160" w:line="480" w:lineRule="auto"/>
        <w:jc w:val="center"/>
        <w:rPr>
          <w:b/>
          <w:bCs/>
        </w:rPr>
      </w:pPr>
      <w:r w:rsidRPr="007363A1">
        <w:rPr>
          <w:b/>
          <w:bCs/>
        </w:rPr>
        <w:t>PART III: ORDER</w:t>
      </w:r>
      <w:r w:rsidR="004C1397">
        <w:rPr>
          <w:b/>
          <w:bCs/>
        </w:rPr>
        <w:t>S</w:t>
      </w:r>
      <w:r w:rsidRPr="007363A1">
        <w:rPr>
          <w:b/>
          <w:bCs/>
        </w:rPr>
        <w:t xml:space="preserve"> SOUGHT</w:t>
      </w:r>
    </w:p>
    <w:p w14:paraId="6B77A9D0" w14:textId="77777777" w:rsidR="00F57831" w:rsidRDefault="00F57831" w:rsidP="00F57831">
      <w:pPr>
        <w:pStyle w:val="ListParagraph"/>
        <w:numPr>
          <w:ilvl w:val="0"/>
          <w:numId w:val="1"/>
        </w:numPr>
        <w:spacing w:line="480" w:lineRule="auto"/>
        <w:ind w:left="0" w:firstLine="0"/>
        <w:jc w:val="both"/>
        <w:rPr>
          <w:lang w:eastAsia="en-US"/>
        </w:rPr>
      </w:pPr>
      <w:r w:rsidRPr="007363A1">
        <w:rPr>
          <w:lang w:eastAsia="en-US"/>
        </w:rPr>
        <w:t>The Respondent respectfully requests that this Honourable Court order the following:</w:t>
      </w:r>
    </w:p>
    <w:p w14:paraId="68BA751D" w14:textId="77777777" w:rsidR="00F57831" w:rsidRDefault="00F57831" w:rsidP="00F57831">
      <w:pPr>
        <w:pStyle w:val="NormalWeb"/>
        <w:spacing w:before="0" w:beforeAutospacing="0" w:after="0" w:afterAutospacing="0" w:line="480" w:lineRule="auto"/>
        <w:ind w:left="720"/>
      </w:pPr>
      <w:r>
        <w:rPr>
          <w:color w:val="000000"/>
        </w:rPr>
        <w:t>i.</w:t>
      </w:r>
      <w:r>
        <w:rPr>
          <w:color w:val="000000"/>
        </w:rPr>
        <w:tab/>
        <w:t>Dismiss the appeal, and</w:t>
      </w:r>
    </w:p>
    <w:p w14:paraId="542BD0BF" w14:textId="4391ED27" w:rsidR="00F57831" w:rsidRDefault="00F57831" w:rsidP="00F57831">
      <w:pPr>
        <w:pStyle w:val="NormalWeb"/>
        <w:spacing w:before="0" w:beforeAutospacing="0" w:after="0" w:afterAutospacing="0" w:line="480" w:lineRule="auto"/>
        <w:ind w:left="720"/>
      </w:pPr>
      <w:r>
        <w:t>ii.</w:t>
      </w:r>
      <w:r>
        <w:tab/>
      </w:r>
      <w:r w:rsidR="00BB1C69">
        <w:t xml:space="preserve">If the questions are found to be properly certified, </w:t>
      </w:r>
      <w:r w:rsidR="00BB1C69">
        <w:rPr>
          <w:color w:val="000000"/>
        </w:rPr>
        <w:t>a</w:t>
      </w:r>
      <w:r>
        <w:rPr>
          <w:color w:val="000000"/>
        </w:rPr>
        <w:t>nswer both questions in the positive.</w:t>
      </w:r>
    </w:p>
    <w:p w14:paraId="2FF408DA" w14:textId="77777777" w:rsidR="00F57831" w:rsidRDefault="00F57831" w:rsidP="00F57831">
      <w:pPr>
        <w:pStyle w:val="ListParagraph"/>
        <w:numPr>
          <w:ilvl w:val="0"/>
          <w:numId w:val="1"/>
        </w:numPr>
        <w:spacing w:line="480" w:lineRule="auto"/>
        <w:ind w:left="0" w:firstLine="0"/>
        <w:jc w:val="both"/>
        <w:rPr>
          <w:lang w:eastAsia="en-US"/>
        </w:rPr>
      </w:pPr>
      <w:r w:rsidRPr="007363A1">
        <w:rPr>
          <w:lang w:eastAsia="en-US"/>
        </w:rPr>
        <w:t xml:space="preserve">All of which is respectfully submitted this </w:t>
      </w:r>
      <w:r>
        <w:rPr>
          <w:lang w:eastAsia="en-US"/>
        </w:rPr>
        <w:t>12</w:t>
      </w:r>
      <w:r w:rsidRPr="007363A1">
        <w:rPr>
          <w:vertAlign w:val="superscript"/>
          <w:lang w:eastAsia="en-US"/>
        </w:rPr>
        <w:t>th</w:t>
      </w:r>
      <w:r w:rsidRPr="007363A1">
        <w:rPr>
          <w:lang w:eastAsia="en-US"/>
        </w:rPr>
        <w:t xml:space="preserve"> day of </w:t>
      </w:r>
      <w:r>
        <w:rPr>
          <w:lang w:eastAsia="en-US"/>
        </w:rPr>
        <w:t>February</w:t>
      </w:r>
      <w:r w:rsidRPr="007363A1">
        <w:rPr>
          <w:lang w:eastAsia="en-US"/>
        </w:rPr>
        <w:t xml:space="preserve"> 202</w:t>
      </w:r>
      <w:r>
        <w:rPr>
          <w:lang w:eastAsia="en-US"/>
        </w:rPr>
        <w:t>1</w:t>
      </w:r>
      <w:r w:rsidRPr="007363A1">
        <w:rPr>
          <w:lang w:eastAsia="en-US"/>
        </w:rPr>
        <w:t>.</w:t>
      </w:r>
    </w:p>
    <w:p w14:paraId="28F7902D" w14:textId="77777777" w:rsidR="00FA036D" w:rsidRDefault="00FA036D" w:rsidP="00FA036D">
      <w:pPr>
        <w:pStyle w:val="ListParagraph"/>
        <w:numPr>
          <w:ilvl w:val="0"/>
          <w:numId w:val="1"/>
        </w:numPr>
        <w:spacing w:line="480" w:lineRule="auto"/>
        <w:ind w:left="0" w:firstLine="0"/>
        <w:jc w:val="both"/>
        <w:rPr>
          <w:lang w:eastAsia="en-US"/>
        </w:rPr>
      </w:pPr>
      <w:r>
        <w:rPr>
          <w:lang w:eastAsia="en-US"/>
        </w:rPr>
        <w:br w:type="page"/>
      </w:r>
    </w:p>
    <w:p w14:paraId="0A282B8E" w14:textId="77777777" w:rsidR="00E578DB" w:rsidRPr="004C1397" w:rsidRDefault="00E578DB" w:rsidP="00AC7583">
      <w:pPr>
        <w:pStyle w:val="NormalWeb"/>
        <w:spacing w:before="0" w:beforeAutospacing="0" w:after="0" w:afterAutospacing="0"/>
        <w:jc w:val="center"/>
      </w:pPr>
      <w:r w:rsidRPr="004C1397">
        <w:rPr>
          <w:b/>
          <w:bCs/>
          <w:color w:val="000000"/>
        </w:rPr>
        <w:t>APPENDIX: LIST OF AUTHORITIES</w:t>
      </w:r>
    </w:p>
    <w:p w14:paraId="421B96B1" w14:textId="77777777" w:rsidR="00E578DB" w:rsidRDefault="00E578DB" w:rsidP="00E578DB">
      <w:pPr>
        <w:pStyle w:val="NormalWeb"/>
        <w:spacing w:before="0" w:beforeAutospacing="0" w:after="0" w:afterAutospacing="0"/>
        <w:rPr>
          <w:b/>
          <w:bCs/>
          <w:color w:val="000000"/>
        </w:rPr>
      </w:pPr>
    </w:p>
    <w:p w14:paraId="3770CF4E" w14:textId="77777777" w:rsidR="00E578DB" w:rsidRDefault="00E578DB" w:rsidP="00E578DB">
      <w:pPr>
        <w:pStyle w:val="NormalWeb"/>
        <w:spacing w:before="0" w:beforeAutospacing="0" w:after="0" w:afterAutospacing="0"/>
      </w:pPr>
      <w:r>
        <w:rPr>
          <w:b/>
          <w:bCs/>
          <w:color w:val="000000"/>
        </w:rPr>
        <w:t>Legislation</w:t>
      </w:r>
    </w:p>
    <w:p w14:paraId="7DCDB65A" w14:textId="77777777" w:rsidR="00E578DB" w:rsidRDefault="00E578DB" w:rsidP="00E578DB">
      <w:pPr>
        <w:pStyle w:val="NormalWeb"/>
        <w:spacing w:before="0" w:beforeAutospacing="0" w:after="0" w:afterAutospacing="0"/>
        <w:rPr>
          <w:color w:val="000000"/>
        </w:rPr>
      </w:pPr>
    </w:p>
    <w:p w14:paraId="1FE33D8F" w14:textId="4951700F" w:rsidR="00AC7583" w:rsidRDefault="00AC7583" w:rsidP="00AC7583">
      <w:pPr>
        <w:pStyle w:val="NormalWeb"/>
        <w:spacing w:before="0" w:beforeAutospacing="0" w:after="0" w:afterAutospacing="0"/>
        <w:rPr>
          <w:rFonts w:asciiTheme="majorBidi" w:hAnsiTheme="majorBidi" w:cstheme="majorBidi"/>
        </w:rPr>
      </w:pPr>
      <w:r w:rsidRPr="006605CA">
        <w:rPr>
          <w:rFonts w:asciiTheme="majorBidi" w:hAnsiTheme="majorBidi" w:cstheme="majorBidi"/>
          <w:i/>
          <w:iCs/>
        </w:rPr>
        <w:t xml:space="preserve">Canadian Charter of Rights and Freedoms, </w:t>
      </w:r>
      <w:r w:rsidRPr="006605CA">
        <w:rPr>
          <w:rFonts w:asciiTheme="majorBidi" w:hAnsiTheme="majorBidi" w:cstheme="majorBidi"/>
        </w:rPr>
        <w:t>Part I of the Constitution Act, 1982, being Schedule B to the Canada Act 1982 (U.K.), 1982, c 11</w:t>
      </w:r>
      <w:r>
        <w:rPr>
          <w:rFonts w:asciiTheme="majorBidi" w:hAnsiTheme="majorBidi" w:cstheme="majorBidi"/>
        </w:rPr>
        <w:t>.</w:t>
      </w:r>
    </w:p>
    <w:p w14:paraId="5444D653" w14:textId="0A4C5F9D" w:rsidR="007B1D37" w:rsidRPr="007B1D37" w:rsidRDefault="007B1D37" w:rsidP="007B1D37">
      <w:pPr>
        <w:jc w:val="both"/>
        <w:rPr>
          <w:rFonts w:asciiTheme="majorBidi" w:hAnsiTheme="majorBidi" w:cstheme="majorBidi"/>
          <w:i/>
          <w:iCs/>
        </w:rPr>
      </w:pPr>
      <w:r>
        <w:rPr>
          <w:i/>
          <w:iCs/>
          <w:color w:val="000000"/>
        </w:rPr>
        <w:t xml:space="preserve">Criminal Code, </w:t>
      </w:r>
      <w:r>
        <w:rPr>
          <w:color w:val="000000"/>
        </w:rPr>
        <w:t>RSC 1985, c C-46</w:t>
      </w:r>
      <w:r w:rsidR="00855FD4">
        <w:rPr>
          <w:color w:val="000000"/>
        </w:rPr>
        <w:t>.</w:t>
      </w:r>
    </w:p>
    <w:p w14:paraId="57D9A4C9" w14:textId="77777777" w:rsidR="00E578DB" w:rsidRDefault="00E578DB" w:rsidP="00E578DB">
      <w:pPr>
        <w:pStyle w:val="NormalWeb"/>
        <w:spacing w:before="0" w:beforeAutospacing="0" w:after="0" w:afterAutospacing="0"/>
        <w:rPr>
          <w:color w:val="000000"/>
        </w:rPr>
      </w:pPr>
      <w:r w:rsidRPr="007A7835">
        <w:rPr>
          <w:i/>
          <w:iCs/>
          <w:color w:val="000000"/>
        </w:rPr>
        <w:t>Immigration and Refugee Protection Act,</w:t>
      </w:r>
      <w:r>
        <w:rPr>
          <w:color w:val="000000"/>
        </w:rPr>
        <w:t xml:space="preserve"> SC 2001, c 7.</w:t>
      </w:r>
    </w:p>
    <w:p w14:paraId="2C21844A" w14:textId="316A5BAA" w:rsidR="00C75D41" w:rsidRDefault="00C75D41" w:rsidP="00C75D41">
      <w:pPr>
        <w:jc w:val="both"/>
        <w:rPr>
          <w:lang w:eastAsia="en-US"/>
        </w:rPr>
      </w:pPr>
      <w:r w:rsidRPr="00C75D41">
        <w:rPr>
          <w:i/>
          <w:iCs/>
          <w:lang w:eastAsia="en-US"/>
        </w:rPr>
        <w:t>International Covenant on Civil and Political Rights</w:t>
      </w:r>
      <w:r w:rsidRPr="00B238DE">
        <w:rPr>
          <w:lang w:eastAsia="en-US"/>
        </w:rPr>
        <w:t>, 19 December 1966, 999 UNTS 171, Can TS 1976 No 47</w:t>
      </w:r>
      <w:r>
        <w:rPr>
          <w:lang w:eastAsia="en-US"/>
        </w:rPr>
        <w:t xml:space="preserve"> </w:t>
      </w:r>
      <w:r w:rsidRPr="00B238DE">
        <w:rPr>
          <w:lang w:eastAsia="en-US"/>
        </w:rPr>
        <w:t>(entered into force 23 March 1976).</w:t>
      </w:r>
    </w:p>
    <w:p w14:paraId="62F672E5" w14:textId="77777777" w:rsidR="00E578DB" w:rsidRDefault="00E578DB" w:rsidP="00E578DB">
      <w:pPr>
        <w:pStyle w:val="NormalWeb"/>
        <w:spacing w:before="0" w:beforeAutospacing="0" w:after="0" w:afterAutospacing="0"/>
        <w:rPr>
          <w:b/>
          <w:bCs/>
          <w:color w:val="000000"/>
        </w:rPr>
      </w:pPr>
    </w:p>
    <w:p w14:paraId="23A2B6C0" w14:textId="77777777" w:rsidR="00E578DB" w:rsidRDefault="00E578DB" w:rsidP="00E578DB">
      <w:pPr>
        <w:pStyle w:val="NormalWeb"/>
        <w:spacing w:before="0" w:beforeAutospacing="0" w:after="0" w:afterAutospacing="0"/>
      </w:pPr>
      <w:r>
        <w:rPr>
          <w:b/>
          <w:bCs/>
          <w:color w:val="000000"/>
        </w:rPr>
        <w:t>Case Law</w:t>
      </w:r>
    </w:p>
    <w:p w14:paraId="3EFB83FC" w14:textId="77777777" w:rsidR="00AC7583" w:rsidRDefault="00AC7583" w:rsidP="00AC7583">
      <w:pPr>
        <w:rPr>
          <w:i/>
          <w:iCs/>
          <w:lang w:eastAsia="en-US"/>
        </w:rPr>
      </w:pPr>
    </w:p>
    <w:p w14:paraId="4FDE9D32" w14:textId="77777777" w:rsidR="00AC7583" w:rsidRDefault="00AC7583" w:rsidP="00AC7583">
      <w:pPr>
        <w:rPr>
          <w:rFonts w:asciiTheme="majorBidi" w:hAnsiTheme="majorBidi" w:cstheme="majorBidi"/>
          <w:i/>
          <w:iCs/>
        </w:rPr>
      </w:pPr>
      <w:r w:rsidRPr="00301FBD">
        <w:rPr>
          <w:rFonts w:asciiTheme="majorBidi" w:hAnsiTheme="majorBidi" w:cstheme="majorBidi"/>
          <w:i/>
          <w:iCs/>
        </w:rPr>
        <w:t xml:space="preserve">Agraira v Canada (Public Safety and Emergency Preparedness), </w:t>
      </w:r>
      <w:r w:rsidRPr="00301FBD">
        <w:rPr>
          <w:rFonts w:asciiTheme="majorBidi" w:hAnsiTheme="majorBidi" w:cstheme="majorBidi"/>
        </w:rPr>
        <w:t>2011 FCA 103</w:t>
      </w:r>
      <w:r w:rsidRPr="00301FBD">
        <w:rPr>
          <w:rFonts w:asciiTheme="majorBidi" w:hAnsiTheme="majorBidi" w:cstheme="majorBidi"/>
          <w:i/>
          <w:iCs/>
        </w:rPr>
        <w:t>.</w:t>
      </w:r>
    </w:p>
    <w:p w14:paraId="14498F00" w14:textId="64FFA8CC" w:rsidR="00AC7583" w:rsidRDefault="00AC7583" w:rsidP="00AC7583">
      <w:pPr>
        <w:rPr>
          <w:rFonts w:asciiTheme="majorBidi" w:hAnsiTheme="majorBidi" w:cstheme="majorBidi"/>
          <w:i/>
          <w:iCs/>
        </w:rPr>
      </w:pPr>
      <w:r w:rsidRPr="00BC3209">
        <w:rPr>
          <w:i/>
          <w:iCs/>
          <w:lang w:eastAsia="en-US"/>
        </w:rPr>
        <w:t>AK v Canada (Minister of Citizenship and Immigration)</w:t>
      </w:r>
      <w:r w:rsidRPr="00FC2C8C">
        <w:rPr>
          <w:lang w:eastAsia="en-US"/>
        </w:rPr>
        <w:t>, 2018 FC 236</w:t>
      </w:r>
      <w:r>
        <w:rPr>
          <w:lang w:eastAsia="en-US"/>
        </w:rPr>
        <w:t>.</w:t>
      </w:r>
    </w:p>
    <w:p w14:paraId="5E068244" w14:textId="77777777" w:rsidR="00AC7583" w:rsidRDefault="00AC7583" w:rsidP="00AC7583">
      <w:pPr>
        <w:rPr>
          <w:rFonts w:asciiTheme="majorBidi" w:hAnsiTheme="majorBidi" w:cstheme="majorBidi"/>
        </w:rPr>
      </w:pPr>
      <w:r w:rsidRPr="00BB1A6E">
        <w:rPr>
          <w:rFonts w:asciiTheme="majorBidi" w:hAnsiTheme="majorBidi" w:cstheme="majorBidi"/>
          <w:i/>
          <w:iCs/>
        </w:rPr>
        <w:t xml:space="preserve">Alam v Canada (Citizenship and Immigration), </w:t>
      </w:r>
      <w:r w:rsidRPr="00BB1A6E">
        <w:rPr>
          <w:rFonts w:asciiTheme="majorBidi" w:hAnsiTheme="majorBidi" w:cstheme="majorBidi"/>
        </w:rPr>
        <w:t>2018 FC 922</w:t>
      </w:r>
      <w:r w:rsidRPr="00E01868">
        <w:rPr>
          <w:rFonts w:asciiTheme="majorBidi" w:hAnsiTheme="majorBidi" w:cstheme="majorBidi"/>
        </w:rPr>
        <w:t>.</w:t>
      </w:r>
    </w:p>
    <w:p w14:paraId="652E6C07" w14:textId="77777777" w:rsidR="00AC7583" w:rsidRDefault="00AC7583" w:rsidP="00AC7583">
      <w:pPr>
        <w:pStyle w:val="NormalWeb"/>
        <w:spacing w:before="0" w:beforeAutospacing="0" w:after="0" w:afterAutospacing="0"/>
      </w:pPr>
      <w:r>
        <w:rPr>
          <w:i/>
          <w:iCs/>
          <w:color w:val="000000"/>
        </w:rPr>
        <w:t>Ali v Canada (Citizenship and Immigration),</w:t>
      </w:r>
      <w:r>
        <w:rPr>
          <w:color w:val="000000"/>
        </w:rPr>
        <w:t xml:space="preserve"> 2017 FC 182.</w:t>
      </w:r>
    </w:p>
    <w:p w14:paraId="2BA5D8D8" w14:textId="77777777" w:rsidR="00AC7583" w:rsidRPr="00301FBD" w:rsidRDefault="00AC7583" w:rsidP="00AC7583">
      <w:pPr>
        <w:rPr>
          <w:rFonts w:asciiTheme="majorBidi" w:hAnsiTheme="majorBidi" w:cstheme="majorBidi"/>
          <w:i/>
          <w:iCs/>
        </w:rPr>
      </w:pPr>
      <w:r w:rsidRPr="00301FBD">
        <w:rPr>
          <w:rFonts w:asciiTheme="majorBidi" w:hAnsiTheme="majorBidi" w:cstheme="majorBidi"/>
          <w:i/>
          <w:iCs/>
        </w:rPr>
        <w:t>B006 v Canada (Citizenship and Immigration)</w:t>
      </w:r>
      <w:r w:rsidRPr="00301FBD">
        <w:rPr>
          <w:rFonts w:asciiTheme="majorBidi" w:hAnsiTheme="majorBidi" w:cstheme="majorBidi"/>
        </w:rPr>
        <w:t>, 2013 FC 1033</w:t>
      </w:r>
      <w:r w:rsidRPr="00301FBD">
        <w:rPr>
          <w:rFonts w:asciiTheme="majorBidi" w:hAnsiTheme="majorBidi" w:cstheme="majorBidi"/>
          <w:i/>
          <w:iCs/>
        </w:rPr>
        <w:t>.</w:t>
      </w:r>
    </w:p>
    <w:p w14:paraId="65F86CA0" w14:textId="77777777" w:rsidR="00555338" w:rsidRDefault="00555338" w:rsidP="00555338">
      <w:pPr>
        <w:pStyle w:val="NormalWeb"/>
        <w:spacing w:before="0" w:beforeAutospacing="0" w:after="0" w:afterAutospacing="0"/>
        <w:rPr>
          <w:i/>
          <w:iCs/>
          <w:color w:val="000000"/>
        </w:rPr>
      </w:pPr>
      <w:r>
        <w:rPr>
          <w:i/>
          <w:iCs/>
          <w:color w:val="000000"/>
        </w:rPr>
        <w:t>B074 v Canada (Citizenship and Immigration),</w:t>
      </w:r>
      <w:r>
        <w:rPr>
          <w:color w:val="000000"/>
        </w:rPr>
        <w:t xml:space="preserve"> 2013 FC 1146.</w:t>
      </w:r>
    </w:p>
    <w:p w14:paraId="553BE79A" w14:textId="77777777" w:rsidR="00555338" w:rsidRDefault="00555338" w:rsidP="00555338">
      <w:pPr>
        <w:pStyle w:val="NormalWeb"/>
        <w:spacing w:before="0" w:beforeAutospacing="0" w:after="0" w:afterAutospacing="0"/>
      </w:pPr>
      <w:r>
        <w:rPr>
          <w:i/>
          <w:iCs/>
        </w:rPr>
        <w:t xml:space="preserve">Canada (Minister of Citizenship and Immigration) v </w:t>
      </w:r>
      <w:r w:rsidRPr="00D51F30">
        <w:rPr>
          <w:i/>
          <w:iCs/>
        </w:rPr>
        <w:t>Vavilov,</w:t>
      </w:r>
      <w:r>
        <w:t xml:space="preserve"> 2019 SCC 65</w:t>
      </w:r>
      <w:r w:rsidRPr="00D51F30">
        <w:rPr>
          <w:i/>
          <w:iCs/>
        </w:rPr>
        <w:t xml:space="preserve"> </w:t>
      </w:r>
    </w:p>
    <w:p w14:paraId="1315B2BA" w14:textId="77777777" w:rsidR="00AC7583" w:rsidRDefault="00AC7583" w:rsidP="00AC7583">
      <w:pPr>
        <w:pStyle w:val="NormalWeb"/>
        <w:spacing w:before="0" w:beforeAutospacing="0" w:after="0" w:afterAutospacing="0"/>
        <w:rPr>
          <w:color w:val="000000"/>
        </w:rPr>
      </w:pPr>
      <w:r>
        <w:rPr>
          <w:i/>
          <w:iCs/>
          <w:color w:val="000000"/>
        </w:rPr>
        <w:t>Canada (Public Safety and Emergency Preparedness) v Lopez Gaytan</w:t>
      </w:r>
      <w:r>
        <w:rPr>
          <w:color w:val="000000"/>
        </w:rPr>
        <w:t>, 2019 FC 1152.</w:t>
      </w:r>
    </w:p>
    <w:p w14:paraId="0C0C34D4" w14:textId="77777777" w:rsidR="00AC7583" w:rsidRPr="004B1BF6" w:rsidRDefault="00AC7583" w:rsidP="00AC7583">
      <w:pPr>
        <w:rPr>
          <w:rFonts w:ascii="SimSun" w:eastAsia="SimSun" w:hAnsi="SimSun" w:cs="SimSun"/>
          <w:i/>
          <w:iCs/>
        </w:rPr>
      </w:pPr>
      <w:r w:rsidRPr="00C22DCA">
        <w:rPr>
          <w:rFonts w:asciiTheme="majorBidi" w:hAnsiTheme="majorBidi" w:cstheme="majorBidi"/>
          <w:i/>
          <w:iCs/>
        </w:rPr>
        <w:t xml:space="preserve">Chowdhury v Canada (Citizenship and Immigration), </w:t>
      </w:r>
      <w:r w:rsidRPr="00CF251F">
        <w:rPr>
          <w:rFonts w:asciiTheme="majorBidi" w:hAnsiTheme="majorBidi" w:cstheme="majorBidi"/>
        </w:rPr>
        <w:t>2020 FC 1987</w:t>
      </w:r>
      <w:r>
        <w:rPr>
          <w:rFonts w:ascii="SimSun" w:eastAsia="SimSun" w:hAnsi="SimSun" w:cs="SimSun" w:hint="eastAsia"/>
        </w:rPr>
        <w:t>.</w:t>
      </w:r>
    </w:p>
    <w:p w14:paraId="55E27889" w14:textId="77777777" w:rsidR="00AC7583" w:rsidRPr="00301FBD" w:rsidRDefault="00AC7583" w:rsidP="00AC7583">
      <w:pPr>
        <w:rPr>
          <w:rFonts w:asciiTheme="majorBidi" w:hAnsiTheme="majorBidi" w:cstheme="majorBidi"/>
          <w:lang w:val="en-US"/>
        </w:rPr>
      </w:pPr>
      <w:r w:rsidRPr="00301FBD">
        <w:rPr>
          <w:rFonts w:asciiTheme="majorBidi" w:hAnsiTheme="majorBidi" w:cstheme="majorBidi"/>
          <w:i/>
          <w:iCs/>
        </w:rPr>
        <w:t>Douze v. Canada (Minister of Citizenship &amp; Immigration)</w:t>
      </w:r>
      <w:r w:rsidRPr="00301FBD">
        <w:rPr>
          <w:rFonts w:asciiTheme="majorBidi" w:hAnsiTheme="majorBidi" w:cstheme="majorBidi"/>
        </w:rPr>
        <w:t>, 2010 FC 1337.</w:t>
      </w:r>
    </w:p>
    <w:p w14:paraId="4FA0298B" w14:textId="77777777" w:rsidR="00AC7583" w:rsidRDefault="00AC7583" w:rsidP="00AC7583">
      <w:pPr>
        <w:pStyle w:val="NormalWeb"/>
        <w:spacing w:before="0" w:beforeAutospacing="0" w:after="0" w:afterAutospacing="0"/>
      </w:pPr>
      <w:r>
        <w:rPr>
          <w:i/>
          <w:iCs/>
          <w:color w:val="000000"/>
        </w:rPr>
        <w:t>Ezokola v Canada (Citizenship and Immigration),</w:t>
      </w:r>
      <w:r>
        <w:rPr>
          <w:color w:val="000000"/>
        </w:rPr>
        <w:t xml:space="preserve"> 2013 SCC 40.</w:t>
      </w:r>
    </w:p>
    <w:p w14:paraId="7F761604" w14:textId="77777777" w:rsidR="00555338" w:rsidRDefault="00555338" w:rsidP="00555338">
      <w:pPr>
        <w:pStyle w:val="NormalWeb"/>
        <w:spacing w:before="0" w:beforeAutospacing="0" w:after="0" w:afterAutospacing="0"/>
        <w:rPr>
          <w:color w:val="000000"/>
        </w:rPr>
      </w:pPr>
      <w:r>
        <w:rPr>
          <w:i/>
          <w:iCs/>
          <w:color w:val="000000"/>
        </w:rPr>
        <w:t xml:space="preserve">Gil Luces v Canada (PSEP), </w:t>
      </w:r>
      <w:r>
        <w:rPr>
          <w:color w:val="000000"/>
        </w:rPr>
        <w:t>2019 FC 1200.</w:t>
      </w:r>
    </w:p>
    <w:p w14:paraId="41931558" w14:textId="77777777" w:rsidR="00555338" w:rsidRDefault="00555338" w:rsidP="00555338">
      <w:pPr>
        <w:rPr>
          <w:rFonts w:asciiTheme="majorBidi" w:hAnsiTheme="majorBidi" w:cstheme="majorBidi"/>
          <w:i/>
          <w:iCs/>
        </w:rPr>
      </w:pPr>
      <w:r w:rsidRPr="00251B5F">
        <w:rPr>
          <w:rFonts w:asciiTheme="majorBidi" w:hAnsiTheme="majorBidi" w:cstheme="majorBidi"/>
          <w:i/>
          <w:iCs/>
        </w:rPr>
        <w:t xml:space="preserve">Ghaffari v Canada (Minister of Citizenship and Immigration), </w:t>
      </w:r>
      <w:r w:rsidRPr="00251B5F">
        <w:rPr>
          <w:rFonts w:asciiTheme="majorBidi" w:hAnsiTheme="majorBidi" w:cstheme="majorBidi"/>
        </w:rPr>
        <w:t>2013 FC 674.</w:t>
      </w:r>
    </w:p>
    <w:p w14:paraId="3F2B1D05" w14:textId="29302D08" w:rsidR="00555338" w:rsidRDefault="00555338" w:rsidP="00555338">
      <w:pPr>
        <w:pStyle w:val="NormalWeb"/>
        <w:spacing w:before="0" w:beforeAutospacing="0" w:after="0" w:afterAutospacing="0"/>
        <w:rPr>
          <w:color w:val="000000"/>
        </w:rPr>
      </w:pPr>
      <w:r w:rsidRPr="00DC56CF">
        <w:rPr>
          <w:i/>
          <w:iCs/>
          <w:lang w:eastAsia="en-US"/>
        </w:rPr>
        <w:t>Helal v Canada (Citizienship and Immigration),</w:t>
      </w:r>
      <w:r>
        <w:rPr>
          <w:lang w:eastAsia="en-US"/>
        </w:rPr>
        <w:t xml:space="preserve"> 2019 FC 37.</w:t>
      </w:r>
    </w:p>
    <w:p w14:paraId="0D6F8A55" w14:textId="77777777" w:rsidR="00555338" w:rsidRDefault="00555338" w:rsidP="00555338">
      <w:pPr>
        <w:pStyle w:val="NormalWeb"/>
        <w:spacing w:before="0" w:beforeAutospacing="0" w:after="0" w:afterAutospacing="0"/>
      </w:pPr>
      <w:r>
        <w:rPr>
          <w:i/>
          <w:iCs/>
          <w:color w:val="000000"/>
        </w:rPr>
        <w:t>Jalloh v Canada (Public Safety and Emergency Preparedness)</w:t>
      </w:r>
      <w:r>
        <w:rPr>
          <w:color w:val="000000"/>
        </w:rPr>
        <w:t>, 2012 FC 317.</w:t>
      </w:r>
    </w:p>
    <w:p w14:paraId="04ECAEC0" w14:textId="77777777" w:rsidR="00555338" w:rsidRDefault="00555338" w:rsidP="00555338">
      <w:pPr>
        <w:pStyle w:val="NormalWeb"/>
        <w:spacing w:before="0" w:beforeAutospacing="0" w:after="0" w:afterAutospacing="0"/>
        <w:rPr>
          <w:i/>
          <w:iCs/>
          <w:lang w:eastAsia="en-US"/>
        </w:rPr>
      </w:pPr>
      <w:r w:rsidRPr="00EB5F61">
        <w:rPr>
          <w:i/>
          <w:iCs/>
          <w:lang w:eastAsia="en-US"/>
        </w:rPr>
        <w:t>Kanagendren</w:t>
      </w:r>
      <w:r>
        <w:rPr>
          <w:i/>
          <w:iCs/>
          <w:lang w:eastAsia="en-US"/>
        </w:rPr>
        <w:t xml:space="preserve"> v Canada (Citizenship and Immigration)</w:t>
      </w:r>
      <w:r>
        <w:rPr>
          <w:lang w:eastAsia="en-US"/>
        </w:rPr>
        <w:t>, 2015 FCA 86.</w:t>
      </w:r>
      <w:r>
        <w:rPr>
          <w:i/>
          <w:iCs/>
          <w:lang w:eastAsia="en-US"/>
        </w:rPr>
        <w:t xml:space="preserve"> </w:t>
      </w:r>
    </w:p>
    <w:p w14:paraId="183EFE46" w14:textId="77777777" w:rsidR="00555338" w:rsidRDefault="00555338" w:rsidP="00555338">
      <w:pPr>
        <w:rPr>
          <w:rFonts w:asciiTheme="majorBidi" w:hAnsiTheme="majorBidi" w:cstheme="majorBidi"/>
        </w:rPr>
      </w:pPr>
      <w:r w:rsidRPr="002729CA">
        <w:rPr>
          <w:rFonts w:asciiTheme="majorBidi" w:hAnsiTheme="majorBidi" w:cstheme="majorBidi"/>
          <w:i/>
          <w:iCs/>
        </w:rPr>
        <w:t>Krishan v Canada (Minister of Citizenship and Immigration</w:t>
      </w:r>
      <w:r w:rsidRPr="002729CA">
        <w:rPr>
          <w:rFonts w:asciiTheme="majorBidi" w:hAnsiTheme="majorBidi" w:cstheme="majorBidi"/>
        </w:rPr>
        <w:t>), 2018 FC 1203</w:t>
      </w:r>
      <w:r>
        <w:rPr>
          <w:rFonts w:asciiTheme="majorBidi" w:hAnsiTheme="majorBidi" w:cstheme="majorBidi"/>
        </w:rPr>
        <w:t>.</w:t>
      </w:r>
    </w:p>
    <w:p w14:paraId="749C7FB4" w14:textId="77777777" w:rsidR="00555338" w:rsidRDefault="00555338" w:rsidP="00555338">
      <w:pPr>
        <w:pStyle w:val="NormalWeb"/>
        <w:spacing w:before="0" w:beforeAutospacing="0" w:after="0" w:afterAutospacing="0"/>
        <w:rPr>
          <w:color w:val="000000"/>
        </w:rPr>
      </w:pPr>
      <w:r>
        <w:rPr>
          <w:i/>
          <w:iCs/>
          <w:color w:val="000000"/>
        </w:rPr>
        <w:t>Krishnamoorthy v Canada (Citizenship and Immigration),</w:t>
      </w:r>
      <w:r>
        <w:rPr>
          <w:color w:val="000000"/>
        </w:rPr>
        <w:t xml:space="preserve"> 2011 FC 1342.</w:t>
      </w:r>
    </w:p>
    <w:p w14:paraId="70DCD245" w14:textId="77777777" w:rsidR="00555338" w:rsidRPr="00A404C1" w:rsidRDefault="00555338" w:rsidP="00555338">
      <w:pPr>
        <w:rPr>
          <w:rFonts w:asciiTheme="majorBidi" w:hAnsiTheme="majorBidi" w:cstheme="majorBidi"/>
        </w:rPr>
      </w:pPr>
      <w:r w:rsidRPr="00301FBD">
        <w:rPr>
          <w:rFonts w:asciiTheme="majorBidi" w:hAnsiTheme="majorBidi" w:cstheme="majorBidi"/>
          <w:i/>
          <w:iCs/>
        </w:rPr>
        <w:t>Lewis v Canada (Public Safety and Emergency Preparedness)</w:t>
      </w:r>
      <w:r w:rsidRPr="00301FBD">
        <w:rPr>
          <w:rFonts w:asciiTheme="majorBidi" w:hAnsiTheme="majorBidi" w:cstheme="majorBidi"/>
        </w:rPr>
        <w:t>, </w:t>
      </w:r>
      <w:hyperlink r:id="rId8" w:tooltip="Federal Court of Appeal" w:history="1">
        <w:r w:rsidRPr="00301FBD">
          <w:rPr>
            <w:rFonts w:asciiTheme="majorBidi" w:hAnsiTheme="majorBidi" w:cstheme="majorBidi"/>
          </w:rPr>
          <w:t>2017 FCA 130</w:t>
        </w:r>
      </w:hyperlink>
      <w:r w:rsidRPr="00301FBD">
        <w:rPr>
          <w:rFonts w:asciiTheme="majorBidi" w:hAnsiTheme="majorBidi" w:cstheme="majorBidi"/>
          <w:i/>
          <w:iCs/>
        </w:rPr>
        <w:t>.</w:t>
      </w:r>
    </w:p>
    <w:p w14:paraId="0BC9285E" w14:textId="77777777" w:rsidR="00555338" w:rsidRDefault="00555338" w:rsidP="00555338">
      <w:pPr>
        <w:pStyle w:val="NormalWeb"/>
        <w:spacing w:before="0" w:beforeAutospacing="0" w:after="0" w:afterAutospacing="0"/>
      </w:pPr>
      <w:r>
        <w:rPr>
          <w:i/>
          <w:iCs/>
          <w:color w:val="000000"/>
        </w:rPr>
        <w:t>Li v Canada (Citizenship and Immigration</w:t>
      </w:r>
      <w:r>
        <w:rPr>
          <w:color w:val="000000"/>
        </w:rPr>
        <w:t>), 1996 FC 235.</w:t>
      </w:r>
    </w:p>
    <w:p w14:paraId="398DE0EB" w14:textId="77777777" w:rsidR="00555338" w:rsidRDefault="00555338" w:rsidP="00555338">
      <w:pPr>
        <w:rPr>
          <w:rFonts w:asciiTheme="majorBidi" w:hAnsiTheme="majorBidi" w:cstheme="majorBidi"/>
        </w:rPr>
      </w:pPr>
      <w:r w:rsidRPr="00157D20">
        <w:rPr>
          <w:rFonts w:asciiTheme="majorBidi" w:hAnsiTheme="majorBidi" w:cstheme="majorBidi"/>
          <w:i/>
          <w:iCs/>
        </w:rPr>
        <w:t>Lopes v. Canada (Minister of Citizenship and Immigration)</w:t>
      </w:r>
      <w:r>
        <w:rPr>
          <w:rFonts w:asciiTheme="majorBidi" w:hAnsiTheme="majorBidi" w:cstheme="majorBidi"/>
        </w:rPr>
        <w:t xml:space="preserve">, </w:t>
      </w:r>
      <w:r w:rsidRPr="00157D20">
        <w:rPr>
          <w:rFonts w:asciiTheme="majorBidi" w:hAnsiTheme="majorBidi" w:cstheme="majorBidi"/>
        </w:rPr>
        <w:t>2012 FCA 25</w:t>
      </w:r>
      <w:r>
        <w:rPr>
          <w:rFonts w:asciiTheme="majorBidi" w:hAnsiTheme="majorBidi" w:cstheme="majorBidi"/>
        </w:rPr>
        <w:t>.</w:t>
      </w:r>
    </w:p>
    <w:p w14:paraId="2BB3A35A" w14:textId="5201E33C" w:rsidR="00555338" w:rsidRDefault="00555338" w:rsidP="00555338">
      <w:pPr>
        <w:rPr>
          <w:rFonts w:asciiTheme="majorBidi" w:hAnsiTheme="majorBidi" w:cstheme="majorBidi"/>
        </w:rPr>
      </w:pPr>
      <w:r w:rsidRPr="00E01868">
        <w:rPr>
          <w:rFonts w:asciiTheme="majorBidi" w:hAnsiTheme="majorBidi" w:cstheme="majorBidi"/>
          <w:i/>
          <w:iCs/>
        </w:rPr>
        <w:t>Lunyamila v Canada (Public Safety and Emergency Preparedness</w:t>
      </w:r>
      <w:r w:rsidRPr="00E01868">
        <w:rPr>
          <w:rFonts w:asciiTheme="majorBidi" w:hAnsiTheme="majorBidi" w:cstheme="majorBidi"/>
        </w:rPr>
        <w:t xml:space="preserve">), 2018 </w:t>
      </w:r>
      <w:r>
        <w:rPr>
          <w:rFonts w:asciiTheme="majorBidi" w:hAnsiTheme="majorBidi" w:cstheme="majorBidi"/>
        </w:rPr>
        <w:t>FCA</w:t>
      </w:r>
      <w:r w:rsidRPr="00E01868">
        <w:rPr>
          <w:rFonts w:asciiTheme="majorBidi" w:hAnsiTheme="majorBidi" w:cstheme="majorBidi"/>
        </w:rPr>
        <w:t xml:space="preserve"> 22</w:t>
      </w:r>
      <w:r>
        <w:rPr>
          <w:rFonts w:asciiTheme="majorBidi" w:hAnsiTheme="majorBidi" w:cstheme="majorBidi"/>
        </w:rPr>
        <w:t>.</w:t>
      </w:r>
    </w:p>
    <w:p w14:paraId="67E9FD2C" w14:textId="77777777" w:rsidR="00555338" w:rsidRDefault="00555338" w:rsidP="00555338">
      <w:pPr>
        <w:pStyle w:val="NormalWeb"/>
        <w:spacing w:before="0" w:beforeAutospacing="0" w:after="0" w:afterAutospacing="0"/>
      </w:pPr>
      <w:r>
        <w:rPr>
          <w:i/>
          <w:iCs/>
          <w:color w:val="000000"/>
        </w:rPr>
        <w:t>Mohamed v Canada (Citizenship and Immigration),</w:t>
      </w:r>
      <w:r>
        <w:rPr>
          <w:color w:val="000000"/>
        </w:rPr>
        <w:t xml:space="preserve"> 2015 FC 622.</w:t>
      </w:r>
    </w:p>
    <w:p w14:paraId="6132A503" w14:textId="6EF14F89" w:rsidR="00555338" w:rsidRPr="00555338" w:rsidRDefault="00555338" w:rsidP="00555338">
      <w:pPr>
        <w:rPr>
          <w:rFonts w:asciiTheme="majorBidi" w:hAnsiTheme="majorBidi" w:cstheme="majorBidi"/>
          <w:color w:val="000000"/>
        </w:rPr>
      </w:pPr>
      <w:r w:rsidRPr="00BC3209">
        <w:rPr>
          <w:rFonts w:asciiTheme="majorBidi" w:hAnsiTheme="majorBidi" w:cstheme="majorBidi"/>
          <w:i/>
          <w:iCs/>
          <w:color w:val="000000"/>
        </w:rPr>
        <w:t>Mugesera v Canada (Minister of Citzienship and Immigration),</w:t>
      </w:r>
      <w:r w:rsidRPr="00BC3209">
        <w:rPr>
          <w:rFonts w:asciiTheme="majorBidi" w:hAnsiTheme="majorBidi" w:cstheme="majorBidi"/>
          <w:color w:val="000000"/>
        </w:rPr>
        <w:t xml:space="preserve"> 2005 SCC 40</w:t>
      </w:r>
      <w:r>
        <w:rPr>
          <w:rFonts w:asciiTheme="majorBidi" w:hAnsiTheme="majorBidi" w:cstheme="majorBidi"/>
          <w:color w:val="000000"/>
        </w:rPr>
        <w:t>.</w:t>
      </w:r>
    </w:p>
    <w:p w14:paraId="72B60672" w14:textId="77777777" w:rsidR="00555338" w:rsidRDefault="00555338" w:rsidP="00555338">
      <w:pPr>
        <w:rPr>
          <w:rFonts w:asciiTheme="majorBidi" w:hAnsiTheme="majorBidi" w:cstheme="majorBidi"/>
        </w:rPr>
      </w:pPr>
      <w:r w:rsidRPr="002D741B">
        <w:rPr>
          <w:rFonts w:asciiTheme="majorBidi" w:hAnsiTheme="majorBidi" w:cstheme="majorBidi"/>
          <w:i/>
          <w:iCs/>
        </w:rPr>
        <w:t xml:space="preserve">Najafi v Canada (Minister of Public Safety and Emergency Preparedness), </w:t>
      </w:r>
      <w:r w:rsidRPr="002D741B">
        <w:rPr>
          <w:rFonts w:asciiTheme="majorBidi" w:hAnsiTheme="majorBidi" w:cstheme="majorBidi"/>
        </w:rPr>
        <w:t>2014 F</w:t>
      </w:r>
      <w:r>
        <w:rPr>
          <w:rFonts w:asciiTheme="majorBidi" w:hAnsiTheme="majorBidi" w:cstheme="majorBidi"/>
        </w:rPr>
        <w:t>CA</w:t>
      </w:r>
      <w:r w:rsidRPr="002D741B">
        <w:rPr>
          <w:rFonts w:asciiTheme="majorBidi" w:hAnsiTheme="majorBidi" w:cstheme="majorBidi"/>
        </w:rPr>
        <w:t xml:space="preserve"> 262</w:t>
      </w:r>
      <w:r>
        <w:rPr>
          <w:rFonts w:asciiTheme="majorBidi" w:hAnsiTheme="majorBidi" w:cstheme="majorBidi"/>
        </w:rPr>
        <w:t>.</w:t>
      </w:r>
    </w:p>
    <w:p w14:paraId="4BBA0007" w14:textId="77777777" w:rsidR="00555338" w:rsidRDefault="00555338" w:rsidP="00555338">
      <w:pPr>
        <w:rPr>
          <w:rFonts w:asciiTheme="majorBidi" w:hAnsiTheme="majorBidi" w:cstheme="majorBidi"/>
        </w:rPr>
      </w:pPr>
      <w:r w:rsidRPr="00157D20">
        <w:rPr>
          <w:rFonts w:asciiTheme="majorBidi" w:hAnsiTheme="majorBidi" w:cstheme="majorBidi"/>
          <w:i/>
          <w:iCs/>
        </w:rPr>
        <w:t xml:space="preserve">Oremade v Canada (Minister of Citizenship and Immigration), </w:t>
      </w:r>
      <w:r w:rsidRPr="00157D20">
        <w:rPr>
          <w:rFonts w:asciiTheme="majorBidi" w:hAnsiTheme="majorBidi" w:cstheme="majorBidi"/>
        </w:rPr>
        <w:t>2005 FC 1077</w:t>
      </w:r>
      <w:r>
        <w:rPr>
          <w:rFonts w:asciiTheme="majorBidi" w:hAnsiTheme="majorBidi" w:cstheme="majorBidi"/>
        </w:rPr>
        <w:t>.</w:t>
      </w:r>
    </w:p>
    <w:p w14:paraId="45255CFB" w14:textId="77777777" w:rsidR="00555338" w:rsidRDefault="00555338" w:rsidP="00555338">
      <w:pPr>
        <w:pStyle w:val="NormalWeb"/>
        <w:spacing w:before="0" w:beforeAutospacing="0" w:after="0" w:afterAutospacing="0"/>
      </w:pPr>
      <w:r>
        <w:rPr>
          <w:i/>
          <w:iCs/>
          <w:color w:val="000000"/>
        </w:rPr>
        <w:t>Poshteh v Canada (Citizenship and Immigration),</w:t>
      </w:r>
      <w:r>
        <w:rPr>
          <w:color w:val="000000"/>
        </w:rPr>
        <w:t xml:space="preserve"> 2005 FCA 85.</w:t>
      </w:r>
    </w:p>
    <w:p w14:paraId="150A345B" w14:textId="77777777" w:rsidR="004C1397" w:rsidRDefault="004C1397" w:rsidP="004C1397">
      <w:pPr>
        <w:pStyle w:val="NormalWeb"/>
        <w:spacing w:before="0" w:beforeAutospacing="0" w:after="0" w:afterAutospacing="0"/>
      </w:pPr>
      <w:r>
        <w:rPr>
          <w:i/>
          <w:iCs/>
          <w:color w:val="000000"/>
        </w:rPr>
        <w:t xml:space="preserve">R v Hibbert, </w:t>
      </w:r>
      <w:r>
        <w:rPr>
          <w:color w:val="000000"/>
        </w:rPr>
        <w:t>2002 SCC 39.</w:t>
      </w:r>
    </w:p>
    <w:p w14:paraId="43873AFC" w14:textId="77777777" w:rsidR="004C1397" w:rsidRDefault="004C1397" w:rsidP="004C1397">
      <w:pPr>
        <w:pStyle w:val="NormalWeb"/>
        <w:spacing w:before="0" w:beforeAutospacing="0" w:after="0" w:afterAutospacing="0"/>
      </w:pPr>
      <w:r>
        <w:rPr>
          <w:i/>
          <w:iCs/>
          <w:color w:val="000000"/>
        </w:rPr>
        <w:t xml:space="preserve">R v Ruzic, </w:t>
      </w:r>
      <w:r>
        <w:rPr>
          <w:color w:val="000000"/>
        </w:rPr>
        <w:t>2001 SCC 24.</w:t>
      </w:r>
    </w:p>
    <w:p w14:paraId="35EEAAAB" w14:textId="77777777" w:rsidR="004C1397" w:rsidRDefault="004C1397" w:rsidP="004C1397">
      <w:pPr>
        <w:pStyle w:val="NormalWeb"/>
        <w:spacing w:before="0" w:beforeAutospacing="0" w:after="0" w:afterAutospacing="0"/>
        <w:rPr>
          <w:lang w:eastAsia="en-US"/>
        </w:rPr>
      </w:pPr>
      <w:r w:rsidRPr="009F2D88">
        <w:rPr>
          <w:i/>
          <w:iCs/>
          <w:lang w:eastAsia="en-US"/>
        </w:rPr>
        <w:t xml:space="preserve">R v Ryan, </w:t>
      </w:r>
      <w:r w:rsidRPr="00896265">
        <w:rPr>
          <w:lang w:eastAsia="en-US"/>
        </w:rPr>
        <w:t>2013 SCC 3</w:t>
      </w:r>
      <w:r>
        <w:rPr>
          <w:lang w:eastAsia="en-US"/>
        </w:rPr>
        <w:t>.</w:t>
      </w:r>
    </w:p>
    <w:p w14:paraId="721D39BF" w14:textId="77777777" w:rsidR="00555338" w:rsidRPr="00A404C1" w:rsidRDefault="00555338" w:rsidP="00555338">
      <w:pPr>
        <w:jc w:val="both"/>
        <w:rPr>
          <w:rFonts w:asciiTheme="majorBidi" w:hAnsiTheme="majorBidi" w:cstheme="majorBidi"/>
          <w:i/>
          <w:iCs/>
        </w:rPr>
      </w:pPr>
      <w:r w:rsidRPr="00301FBD">
        <w:rPr>
          <w:rFonts w:asciiTheme="majorBidi" w:hAnsiTheme="majorBidi" w:cstheme="majorBidi"/>
          <w:i/>
          <w:iCs/>
        </w:rPr>
        <w:t xml:space="preserve">Rana v Canada (Minister of Public Safety and Emergency Preparedness), </w:t>
      </w:r>
      <w:r w:rsidRPr="00301FBD">
        <w:rPr>
          <w:rFonts w:asciiTheme="majorBidi" w:hAnsiTheme="majorBidi" w:cstheme="majorBidi"/>
        </w:rPr>
        <w:t>2018 FC 1080</w:t>
      </w:r>
      <w:r w:rsidRPr="00301FBD">
        <w:rPr>
          <w:rFonts w:asciiTheme="majorBidi" w:hAnsiTheme="majorBidi" w:cstheme="majorBidi"/>
          <w:i/>
          <w:iCs/>
        </w:rPr>
        <w:t>.</w:t>
      </w:r>
    </w:p>
    <w:p w14:paraId="5B06B027" w14:textId="77777777" w:rsidR="00555338" w:rsidRDefault="00555338" w:rsidP="00555338">
      <w:pPr>
        <w:rPr>
          <w:i/>
          <w:iCs/>
          <w:lang w:eastAsia="en-US"/>
        </w:rPr>
      </w:pPr>
      <w:r w:rsidRPr="00981D6C">
        <w:rPr>
          <w:rFonts w:asciiTheme="majorBidi" w:eastAsiaTheme="minorEastAsia" w:hAnsiTheme="majorBidi" w:cstheme="majorBidi"/>
          <w:i/>
          <w:iCs/>
        </w:rPr>
        <w:t xml:space="preserve">Rizzo &amp; Rizzo Shoes Ltd (Re), </w:t>
      </w:r>
      <w:r w:rsidRPr="00981D6C">
        <w:rPr>
          <w:rFonts w:asciiTheme="majorBidi" w:eastAsiaTheme="minorEastAsia" w:hAnsiTheme="majorBidi" w:cstheme="majorBidi"/>
        </w:rPr>
        <w:t xml:space="preserve">[1998] 1 SCR 27, </w:t>
      </w:r>
      <w:r w:rsidRPr="00F6753C">
        <w:rPr>
          <w:rFonts w:asciiTheme="majorBidi" w:eastAsiaTheme="minorEastAsia" w:hAnsiTheme="majorBidi" w:cstheme="majorBidi"/>
        </w:rPr>
        <w:t>[1998] SCJ No</w:t>
      </w:r>
      <w:r>
        <w:rPr>
          <w:rFonts w:asciiTheme="majorBidi" w:eastAsiaTheme="minorEastAsia" w:hAnsiTheme="majorBidi" w:cstheme="majorBidi"/>
        </w:rPr>
        <w:t xml:space="preserve"> 2.</w:t>
      </w:r>
    </w:p>
    <w:p w14:paraId="572E35D8" w14:textId="77777777" w:rsidR="00555338" w:rsidRDefault="00555338" w:rsidP="00555338">
      <w:pPr>
        <w:pStyle w:val="NormalWeb"/>
        <w:spacing w:before="0" w:beforeAutospacing="0" w:after="0" w:afterAutospacing="0"/>
      </w:pPr>
      <w:r>
        <w:rPr>
          <w:i/>
          <w:iCs/>
          <w:color w:val="000000"/>
        </w:rPr>
        <w:t xml:space="preserve">Sinnaiah v Canada (Citizenship and Immigration), </w:t>
      </w:r>
      <w:r>
        <w:rPr>
          <w:color w:val="000000"/>
        </w:rPr>
        <w:t>2004 FC 1576.</w:t>
      </w:r>
    </w:p>
    <w:p w14:paraId="212C1720" w14:textId="77777777" w:rsidR="00555338" w:rsidRDefault="00555338" w:rsidP="00555338">
      <w:r w:rsidRPr="001B6B33">
        <w:rPr>
          <w:i/>
          <w:iCs/>
        </w:rPr>
        <w:t>Thiyagarajah v Canada (Minister of Citizenship and Immigration)</w:t>
      </w:r>
      <w:r w:rsidRPr="000E7987">
        <w:t>, 2011 FC 339</w:t>
      </w:r>
      <w:r>
        <w:t xml:space="preserve"> </w:t>
      </w:r>
    </w:p>
    <w:p w14:paraId="0BCEDA8A" w14:textId="77777777" w:rsidR="00555338" w:rsidRDefault="00555338" w:rsidP="00555338">
      <w:pPr>
        <w:pStyle w:val="NormalWeb"/>
        <w:spacing w:before="0" w:beforeAutospacing="0" w:after="0" w:afterAutospacing="0"/>
      </w:pPr>
      <w:r>
        <w:rPr>
          <w:i/>
          <w:iCs/>
          <w:color w:val="000000"/>
        </w:rPr>
        <w:t>TK v Canada (Public Safety and Emergency Preparedness),</w:t>
      </w:r>
      <w:r>
        <w:rPr>
          <w:color w:val="000000"/>
        </w:rPr>
        <w:t xml:space="preserve"> 2013 FC 327.</w:t>
      </w:r>
    </w:p>
    <w:p w14:paraId="3449AB62" w14:textId="7C686A00" w:rsidR="00E578DB" w:rsidRPr="00555338" w:rsidRDefault="00555338" w:rsidP="00555338">
      <w:pPr>
        <w:pStyle w:val="NormalWeb"/>
        <w:spacing w:before="0" w:beforeAutospacing="0" w:after="0" w:afterAutospacing="0"/>
        <w:rPr>
          <w:color w:val="000000"/>
        </w:rPr>
      </w:pPr>
      <w:r>
        <w:rPr>
          <w:i/>
          <w:iCs/>
          <w:color w:val="000000"/>
        </w:rPr>
        <w:t>Toronto Coalition to Stop the War v Canada (Public Safety and Emergency Preparedness</w:t>
      </w:r>
      <w:r>
        <w:rPr>
          <w:color w:val="000000"/>
        </w:rPr>
        <w:t>), 2010 FC 957.</w:t>
      </w:r>
    </w:p>
    <w:p w14:paraId="619723D2" w14:textId="77777777" w:rsidR="00E578DB" w:rsidRDefault="00E578DB" w:rsidP="00E578DB">
      <w:pPr>
        <w:rPr>
          <w:rFonts w:asciiTheme="majorBidi" w:hAnsiTheme="majorBidi" w:cstheme="majorBidi"/>
          <w:i/>
          <w:iCs/>
        </w:rPr>
      </w:pPr>
      <w:r w:rsidRPr="00185A8A">
        <w:rPr>
          <w:rFonts w:asciiTheme="majorBidi" w:eastAsiaTheme="minorEastAsia" w:hAnsiTheme="majorBidi" w:cstheme="majorBidi"/>
          <w:i/>
          <w:iCs/>
        </w:rPr>
        <w:t xml:space="preserve">Zahw v. Canada (Public Safety and Emergency Preparedness), </w:t>
      </w:r>
      <w:r w:rsidRPr="00185A8A">
        <w:rPr>
          <w:rFonts w:asciiTheme="majorBidi" w:eastAsiaTheme="minorEastAsia" w:hAnsiTheme="majorBidi" w:cstheme="majorBidi"/>
        </w:rPr>
        <w:t>2019 FC 934</w:t>
      </w:r>
      <w:r w:rsidRPr="00185A8A">
        <w:rPr>
          <w:rFonts w:asciiTheme="majorBidi" w:eastAsiaTheme="minorEastAsia" w:hAnsiTheme="majorBidi" w:cstheme="majorBidi"/>
          <w:i/>
          <w:iCs/>
        </w:rPr>
        <w:t>.</w:t>
      </w:r>
    </w:p>
    <w:p w14:paraId="56D14B49" w14:textId="056F5F93" w:rsidR="00E578DB" w:rsidRDefault="00E578DB" w:rsidP="00E578DB">
      <w:pPr>
        <w:pStyle w:val="ListParagraph"/>
        <w:ind w:left="0"/>
        <w:jc w:val="both"/>
        <w:rPr>
          <w:i/>
          <w:iCs/>
          <w:color w:val="000000"/>
        </w:rPr>
      </w:pPr>
    </w:p>
    <w:p w14:paraId="5820EF91" w14:textId="77777777" w:rsidR="00E578DB" w:rsidRPr="004B1BF6" w:rsidRDefault="00E578DB" w:rsidP="00E578DB">
      <w:pPr>
        <w:pStyle w:val="ListParagraph"/>
        <w:ind w:left="0"/>
        <w:jc w:val="both"/>
        <w:rPr>
          <w:b/>
          <w:bCs/>
          <w:lang w:eastAsia="en-US"/>
        </w:rPr>
      </w:pPr>
      <w:r w:rsidRPr="004B1BF6">
        <w:rPr>
          <w:b/>
          <w:bCs/>
          <w:lang w:eastAsia="en-US"/>
        </w:rPr>
        <w:t>Secondary Materials</w:t>
      </w:r>
    </w:p>
    <w:p w14:paraId="02938318" w14:textId="77777777" w:rsidR="00E578DB" w:rsidRDefault="00E578DB" w:rsidP="00E578DB">
      <w:pPr>
        <w:pStyle w:val="ListParagraph"/>
        <w:ind w:left="0"/>
        <w:jc w:val="both"/>
        <w:rPr>
          <w:lang w:eastAsia="en-US"/>
        </w:rPr>
      </w:pPr>
    </w:p>
    <w:p w14:paraId="6CF6366B" w14:textId="77777777" w:rsidR="00AC7583" w:rsidRDefault="00AC7583" w:rsidP="00AC7583">
      <w:pPr>
        <w:pStyle w:val="ListParagraph"/>
        <w:ind w:left="0"/>
        <w:jc w:val="both"/>
      </w:pPr>
      <w:r>
        <w:t xml:space="preserve">Jared Porter, </w:t>
      </w:r>
      <w:r w:rsidRPr="00F41639">
        <w:rPr>
          <w:i/>
          <w:iCs/>
        </w:rPr>
        <w:t>No Rebels Allowed: The Subversion Bar in Canada's Immigration Legislation</w:t>
      </w:r>
      <w:r w:rsidRPr="00F41639">
        <w:t>, (2018), 81 Sask L</w:t>
      </w:r>
      <w:r>
        <w:t xml:space="preserve"> </w:t>
      </w:r>
      <w:r w:rsidRPr="00F41639">
        <w:t>Rev 25-51</w:t>
      </w:r>
      <w:r>
        <w:t>.</w:t>
      </w:r>
    </w:p>
    <w:p w14:paraId="7018D508" w14:textId="77777777" w:rsidR="00E578DB" w:rsidRDefault="00E578DB" w:rsidP="00E578DB">
      <w:pPr>
        <w:pStyle w:val="ListParagraph"/>
        <w:ind w:left="0"/>
        <w:jc w:val="both"/>
        <w:rPr>
          <w:lang w:eastAsia="en-US"/>
        </w:rPr>
      </w:pPr>
      <w:r>
        <w:rPr>
          <w:lang w:eastAsia="en-US"/>
        </w:rPr>
        <w:t xml:space="preserve">Sharryn Aiken et al, </w:t>
      </w:r>
      <w:r>
        <w:rPr>
          <w:i/>
          <w:iCs/>
          <w:lang w:eastAsia="en-US"/>
        </w:rPr>
        <w:t xml:space="preserve">Immigration and Refugee Law: Cases, Materials, and Commentary, </w:t>
      </w:r>
      <w:r>
        <w:rPr>
          <w:lang w:eastAsia="en-US"/>
        </w:rPr>
        <w:t>3</w:t>
      </w:r>
      <w:r w:rsidRPr="004B1BF6">
        <w:rPr>
          <w:vertAlign w:val="superscript"/>
          <w:lang w:eastAsia="en-US"/>
        </w:rPr>
        <w:t>rd</w:t>
      </w:r>
      <w:r>
        <w:rPr>
          <w:lang w:eastAsia="en-US"/>
        </w:rPr>
        <w:t xml:space="preserve"> ed (Toronto: Emond Montgomery Publications Limited, 2020).</w:t>
      </w:r>
    </w:p>
    <w:sectPr w:rsidR="00E578DB" w:rsidSect="00EB7C09">
      <w:footerReference w:type="even"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4E21" w14:textId="77777777" w:rsidR="00D453B4" w:rsidRDefault="00D453B4" w:rsidP="00EB7C09">
      <w:r>
        <w:separator/>
      </w:r>
    </w:p>
  </w:endnote>
  <w:endnote w:type="continuationSeparator" w:id="0">
    <w:p w14:paraId="73803B76" w14:textId="77777777" w:rsidR="00D453B4" w:rsidRDefault="00D453B4" w:rsidP="00EB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740132"/>
      <w:docPartObj>
        <w:docPartGallery w:val="Page Numbers (Bottom of Page)"/>
        <w:docPartUnique/>
      </w:docPartObj>
    </w:sdtPr>
    <w:sdtContent>
      <w:p w14:paraId="0159B299" w14:textId="58893B6E" w:rsidR="00215636" w:rsidRDefault="00215636" w:rsidP="00EB7C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5D38D2" w14:textId="77777777" w:rsidR="00215636" w:rsidRDefault="00215636" w:rsidP="00EB7C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593562"/>
      <w:docPartObj>
        <w:docPartGallery w:val="Page Numbers (Bottom of Page)"/>
        <w:docPartUnique/>
      </w:docPartObj>
    </w:sdtPr>
    <w:sdtContent>
      <w:p w14:paraId="13575CE2" w14:textId="27F7E733" w:rsidR="00215636" w:rsidRDefault="00215636" w:rsidP="00EB7C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73E1">
          <w:rPr>
            <w:rStyle w:val="PageNumber"/>
            <w:noProof/>
          </w:rPr>
          <w:t>2</w:t>
        </w:r>
        <w:r>
          <w:rPr>
            <w:rStyle w:val="PageNumber"/>
          </w:rPr>
          <w:fldChar w:fldCharType="end"/>
        </w:r>
      </w:p>
    </w:sdtContent>
  </w:sdt>
  <w:p w14:paraId="23B935F2" w14:textId="77777777" w:rsidR="00215636" w:rsidRDefault="00215636" w:rsidP="00EB7C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4C61" w14:textId="77777777" w:rsidR="00D453B4" w:rsidRDefault="00D453B4" w:rsidP="00EB7C09">
      <w:r>
        <w:separator/>
      </w:r>
    </w:p>
  </w:footnote>
  <w:footnote w:type="continuationSeparator" w:id="0">
    <w:p w14:paraId="13963AFB" w14:textId="77777777" w:rsidR="00D453B4" w:rsidRDefault="00D453B4" w:rsidP="00EB7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416C788"/>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Calibri"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B1C52D2"/>
    <w:multiLevelType w:val="hybridMultilevel"/>
    <w:tmpl w:val="33A0CDE6"/>
    <w:lvl w:ilvl="0" w:tplc="35B01A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4A12"/>
    <w:multiLevelType w:val="hybridMultilevel"/>
    <w:tmpl w:val="964EC5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61557"/>
    <w:multiLevelType w:val="multilevel"/>
    <w:tmpl w:val="B4A0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5579D"/>
    <w:multiLevelType w:val="hybridMultilevel"/>
    <w:tmpl w:val="1F2AD6A8"/>
    <w:lvl w:ilvl="0" w:tplc="DC229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76E28"/>
    <w:multiLevelType w:val="hybridMultilevel"/>
    <w:tmpl w:val="1F2AD6A8"/>
    <w:lvl w:ilvl="0" w:tplc="DC229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47EB5"/>
    <w:multiLevelType w:val="multilevel"/>
    <w:tmpl w:val="2E7CC9BC"/>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2F4DFC"/>
    <w:multiLevelType w:val="multilevel"/>
    <w:tmpl w:val="E0A26AC6"/>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lowerRoman"/>
      <w:lvlText w:val="(%4)."/>
      <w:lvlJc w:val="right"/>
      <w:pPr>
        <w:ind w:left="4320" w:hanging="360"/>
      </w:pPr>
      <w:rPr>
        <w:rFonts w:hint="default"/>
      </w:r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2C4F0CB7"/>
    <w:multiLevelType w:val="hybridMultilevel"/>
    <w:tmpl w:val="17903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D3406"/>
    <w:multiLevelType w:val="hybridMultilevel"/>
    <w:tmpl w:val="B0BCB556"/>
    <w:lvl w:ilvl="0" w:tplc="8BD4B30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10B08"/>
    <w:multiLevelType w:val="multilevel"/>
    <w:tmpl w:val="F03007C8"/>
    <w:lvl w:ilvl="0">
      <w:start w:val="1"/>
      <w:numFmt w:val="upperLetter"/>
      <w:lvlText w:val="%1."/>
      <w:lvlJc w:val="left"/>
      <w:pPr>
        <w:ind w:left="720" w:hanging="360"/>
      </w:pPr>
      <w:rPr>
        <w:rFonts w:hint="default"/>
        <w:u w:val="single" w:color="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585BAC"/>
    <w:multiLevelType w:val="multilevel"/>
    <w:tmpl w:val="33A0CDE6"/>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BB27A7"/>
    <w:multiLevelType w:val="hybridMultilevel"/>
    <w:tmpl w:val="1F2AD6A8"/>
    <w:lvl w:ilvl="0" w:tplc="DC229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01F57"/>
    <w:multiLevelType w:val="multilevel"/>
    <w:tmpl w:val="35F2FD74"/>
    <w:lvl w:ilvl="0">
      <w:start w:val="1"/>
      <w:numFmt w:val="upperLetter"/>
      <w:lvlText w:val="%1."/>
      <w:lvlJc w:val="left"/>
      <w:pPr>
        <w:ind w:left="720" w:hanging="360"/>
      </w:pPr>
      <w:rPr>
        <w:rFonts w:hint="default"/>
        <w:u w:val="single" w:color="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3411CD"/>
    <w:multiLevelType w:val="multilevel"/>
    <w:tmpl w:val="F9CCB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DA5AAE"/>
    <w:multiLevelType w:val="multilevel"/>
    <w:tmpl w:val="1B82D2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C950FF"/>
    <w:multiLevelType w:val="hybridMultilevel"/>
    <w:tmpl w:val="B458306A"/>
    <w:lvl w:ilvl="0" w:tplc="765C1566">
      <w:start w:val="1"/>
      <w:numFmt w:val="upperLetter"/>
      <w:lvlText w:val="%1."/>
      <w:lvlJc w:val="left"/>
      <w:pPr>
        <w:ind w:left="720" w:hanging="360"/>
      </w:pPr>
      <w:rPr>
        <w:rFonts w:hint="default"/>
        <w:u w:val="none"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04A0A"/>
    <w:multiLevelType w:val="hybridMultilevel"/>
    <w:tmpl w:val="48D808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1399E"/>
    <w:multiLevelType w:val="hybridMultilevel"/>
    <w:tmpl w:val="5B20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83AB2"/>
    <w:multiLevelType w:val="hybridMultilevel"/>
    <w:tmpl w:val="6F3E3BA0"/>
    <w:lvl w:ilvl="0" w:tplc="C33EAB4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14B03"/>
    <w:multiLevelType w:val="multilevel"/>
    <w:tmpl w:val="2DDA4DF4"/>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5901312F"/>
    <w:multiLevelType w:val="hybridMultilevel"/>
    <w:tmpl w:val="17684F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F02A1A24">
      <w:start w:val="1"/>
      <w:numFmt w:val="lowerRoman"/>
      <w:lvlText w:val="(%4)"/>
      <w:lvlJc w:val="righ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D194413"/>
    <w:multiLevelType w:val="hybridMultilevel"/>
    <w:tmpl w:val="B1E4109C"/>
    <w:lvl w:ilvl="0" w:tplc="77E4001C">
      <w:start w:val="1"/>
      <w:numFmt w:val="low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E54E2"/>
    <w:multiLevelType w:val="multilevel"/>
    <w:tmpl w:val="F244B3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3B7E6D"/>
    <w:multiLevelType w:val="hybridMultilevel"/>
    <w:tmpl w:val="B80ADB70"/>
    <w:lvl w:ilvl="0" w:tplc="0409000F">
      <w:start w:val="1"/>
      <w:numFmt w:val="decimal"/>
      <w:lvlText w:val="%1."/>
      <w:lvlJc w:val="left"/>
      <w:pPr>
        <w:ind w:left="720" w:hanging="360"/>
      </w:pPr>
    </w:lvl>
    <w:lvl w:ilvl="1" w:tplc="23F0F936">
      <w:start w:val="1"/>
      <w:numFmt w:val="decimal"/>
      <w:lvlText w:val="(%2)"/>
      <w:lvlJc w:val="left"/>
      <w:pPr>
        <w:ind w:left="1440" w:hanging="360"/>
      </w:pPr>
      <w:rPr>
        <w:rFonts w:hint="default"/>
      </w:rPr>
    </w:lvl>
    <w:lvl w:ilvl="2" w:tplc="04090017">
      <w:start w:val="1"/>
      <w:numFmt w:val="lowerLetter"/>
      <w:lvlText w:val="%3)"/>
      <w:lvlJc w:val="left"/>
      <w:pPr>
        <w:ind w:left="2340" w:hanging="360"/>
      </w:pPr>
    </w:lvl>
    <w:lvl w:ilvl="3" w:tplc="D056EBC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5573F"/>
    <w:multiLevelType w:val="hybridMultilevel"/>
    <w:tmpl w:val="C024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747B9"/>
    <w:multiLevelType w:val="hybridMultilevel"/>
    <w:tmpl w:val="E3B29EF2"/>
    <w:lvl w:ilvl="0" w:tplc="35B01A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73634"/>
    <w:multiLevelType w:val="multilevel"/>
    <w:tmpl w:val="FA705F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001289"/>
    <w:multiLevelType w:val="multilevel"/>
    <w:tmpl w:val="623CFE5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451905"/>
    <w:multiLevelType w:val="hybridMultilevel"/>
    <w:tmpl w:val="E3B29EF2"/>
    <w:lvl w:ilvl="0" w:tplc="35B01A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372FF"/>
    <w:multiLevelType w:val="hybridMultilevel"/>
    <w:tmpl w:val="C5527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85597">
    <w:abstractNumId w:val="24"/>
  </w:num>
  <w:num w:numId="2" w16cid:durableId="2133791700">
    <w:abstractNumId w:val="8"/>
  </w:num>
  <w:num w:numId="3" w16cid:durableId="843014469">
    <w:abstractNumId w:val="17"/>
  </w:num>
  <w:num w:numId="4" w16cid:durableId="1001811340">
    <w:abstractNumId w:val="14"/>
  </w:num>
  <w:num w:numId="5" w16cid:durableId="995720860">
    <w:abstractNumId w:val="15"/>
  </w:num>
  <w:num w:numId="6" w16cid:durableId="1500972046">
    <w:abstractNumId w:val="6"/>
  </w:num>
  <w:num w:numId="7" w16cid:durableId="1026099251">
    <w:abstractNumId w:val="28"/>
  </w:num>
  <w:num w:numId="8" w16cid:durableId="1361472224">
    <w:abstractNumId w:val="3"/>
  </w:num>
  <w:num w:numId="9" w16cid:durableId="272061493">
    <w:abstractNumId w:val="2"/>
  </w:num>
  <w:num w:numId="10" w16cid:durableId="1784615425">
    <w:abstractNumId w:val="0"/>
  </w:num>
  <w:num w:numId="11" w16cid:durableId="310062311">
    <w:abstractNumId w:val="18"/>
  </w:num>
  <w:num w:numId="12" w16cid:durableId="700980417">
    <w:abstractNumId w:val="25"/>
  </w:num>
  <w:num w:numId="13" w16cid:durableId="2145925476">
    <w:abstractNumId w:val="22"/>
  </w:num>
  <w:num w:numId="14" w16cid:durableId="866018268">
    <w:abstractNumId w:val="9"/>
  </w:num>
  <w:num w:numId="15" w16cid:durableId="1004629416">
    <w:abstractNumId w:val="26"/>
  </w:num>
  <w:num w:numId="16" w16cid:durableId="797722049">
    <w:abstractNumId w:val="30"/>
  </w:num>
  <w:num w:numId="17" w16cid:durableId="349374011">
    <w:abstractNumId w:val="29"/>
  </w:num>
  <w:num w:numId="18" w16cid:durableId="885064995">
    <w:abstractNumId w:val="1"/>
  </w:num>
  <w:num w:numId="19" w16cid:durableId="216480981">
    <w:abstractNumId w:val="23"/>
  </w:num>
  <w:num w:numId="20" w16cid:durableId="1022050093">
    <w:abstractNumId w:val="12"/>
  </w:num>
  <w:num w:numId="21" w16cid:durableId="559634987">
    <w:abstractNumId w:val="11"/>
  </w:num>
  <w:num w:numId="22" w16cid:durableId="159007654">
    <w:abstractNumId w:val="5"/>
  </w:num>
  <w:num w:numId="23" w16cid:durableId="1670056517">
    <w:abstractNumId w:val="4"/>
  </w:num>
  <w:num w:numId="24" w16cid:durableId="1041780509">
    <w:abstractNumId w:val="21"/>
  </w:num>
  <w:num w:numId="25" w16cid:durableId="1945917313">
    <w:abstractNumId w:val="20"/>
  </w:num>
  <w:num w:numId="26" w16cid:durableId="1076365175">
    <w:abstractNumId w:val="7"/>
  </w:num>
  <w:num w:numId="27" w16cid:durableId="996109970">
    <w:abstractNumId w:val="16"/>
  </w:num>
  <w:num w:numId="28" w16cid:durableId="1814786427">
    <w:abstractNumId w:val="19"/>
  </w:num>
  <w:num w:numId="29" w16cid:durableId="2095469152">
    <w:abstractNumId w:val="27"/>
  </w:num>
  <w:num w:numId="30" w16cid:durableId="1186481159">
    <w:abstractNumId w:val="13"/>
  </w:num>
  <w:num w:numId="31" w16cid:durableId="11440094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D1"/>
    <w:rsid w:val="000002BE"/>
    <w:rsid w:val="00000AE6"/>
    <w:rsid w:val="00000E20"/>
    <w:rsid w:val="00004CDA"/>
    <w:rsid w:val="00010F35"/>
    <w:rsid w:val="0001182F"/>
    <w:rsid w:val="00011E3E"/>
    <w:rsid w:val="00016492"/>
    <w:rsid w:val="00022F81"/>
    <w:rsid w:val="000419F6"/>
    <w:rsid w:val="000444C8"/>
    <w:rsid w:val="00050F58"/>
    <w:rsid w:val="00061A5D"/>
    <w:rsid w:val="00062595"/>
    <w:rsid w:val="00063465"/>
    <w:rsid w:val="00063CD7"/>
    <w:rsid w:val="00072761"/>
    <w:rsid w:val="00075030"/>
    <w:rsid w:val="00075D82"/>
    <w:rsid w:val="00091112"/>
    <w:rsid w:val="00093378"/>
    <w:rsid w:val="000A0D94"/>
    <w:rsid w:val="000A1AB4"/>
    <w:rsid w:val="000A2CCD"/>
    <w:rsid w:val="000A5083"/>
    <w:rsid w:val="000B00E9"/>
    <w:rsid w:val="000C0C4F"/>
    <w:rsid w:val="000C4AD5"/>
    <w:rsid w:val="000D0AD7"/>
    <w:rsid w:val="000E115E"/>
    <w:rsid w:val="000E148A"/>
    <w:rsid w:val="000E15E1"/>
    <w:rsid w:val="000E7987"/>
    <w:rsid w:val="000F18BB"/>
    <w:rsid w:val="000F3F53"/>
    <w:rsid w:val="000F70A7"/>
    <w:rsid w:val="001031A6"/>
    <w:rsid w:val="0011123A"/>
    <w:rsid w:val="00111482"/>
    <w:rsid w:val="00114978"/>
    <w:rsid w:val="00117221"/>
    <w:rsid w:val="00127D28"/>
    <w:rsid w:val="00132337"/>
    <w:rsid w:val="00136730"/>
    <w:rsid w:val="00136E26"/>
    <w:rsid w:val="00141555"/>
    <w:rsid w:val="00142B5C"/>
    <w:rsid w:val="00142C2F"/>
    <w:rsid w:val="00151461"/>
    <w:rsid w:val="0015419A"/>
    <w:rsid w:val="00157DF7"/>
    <w:rsid w:val="00163D38"/>
    <w:rsid w:val="001641F4"/>
    <w:rsid w:val="0017082F"/>
    <w:rsid w:val="0017447A"/>
    <w:rsid w:val="00174ED1"/>
    <w:rsid w:val="001763E3"/>
    <w:rsid w:val="00184607"/>
    <w:rsid w:val="00185DA2"/>
    <w:rsid w:val="00186789"/>
    <w:rsid w:val="001946B4"/>
    <w:rsid w:val="00197762"/>
    <w:rsid w:val="001A7B6C"/>
    <w:rsid w:val="001B449D"/>
    <w:rsid w:val="001B47E0"/>
    <w:rsid w:val="001B6B33"/>
    <w:rsid w:val="001B6B97"/>
    <w:rsid w:val="001B78DB"/>
    <w:rsid w:val="001C0470"/>
    <w:rsid w:val="001C1B0B"/>
    <w:rsid w:val="001C2830"/>
    <w:rsid w:val="001C4341"/>
    <w:rsid w:val="001C535E"/>
    <w:rsid w:val="001E381B"/>
    <w:rsid w:val="001E3871"/>
    <w:rsid w:val="001E4840"/>
    <w:rsid w:val="001E73C0"/>
    <w:rsid w:val="001E7F5B"/>
    <w:rsid w:val="001F0AC6"/>
    <w:rsid w:val="001F122B"/>
    <w:rsid w:val="001F3ACD"/>
    <w:rsid w:val="001F6C97"/>
    <w:rsid w:val="001F6EFC"/>
    <w:rsid w:val="00200F05"/>
    <w:rsid w:val="00203B85"/>
    <w:rsid w:val="00204714"/>
    <w:rsid w:val="00205E1F"/>
    <w:rsid w:val="00207A1A"/>
    <w:rsid w:val="00210BA1"/>
    <w:rsid w:val="00212363"/>
    <w:rsid w:val="00215636"/>
    <w:rsid w:val="00215796"/>
    <w:rsid w:val="00216C65"/>
    <w:rsid w:val="002225A8"/>
    <w:rsid w:val="00224E55"/>
    <w:rsid w:val="00232923"/>
    <w:rsid w:val="00233138"/>
    <w:rsid w:val="00233466"/>
    <w:rsid w:val="002340C7"/>
    <w:rsid w:val="002373DC"/>
    <w:rsid w:val="002506B2"/>
    <w:rsid w:val="00251B5F"/>
    <w:rsid w:val="00252EE8"/>
    <w:rsid w:val="0025787E"/>
    <w:rsid w:val="00262CD6"/>
    <w:rsid w:val="00264B07"/>
    <w:rsid w:val="002677D7"/>
    <w:rsid w:val="00267D4D"/>
    <w:rsid w:val="00270A6B"/>
    <w:rsid w:val="00270F48"/>
    <w:rsid w:val="00271032"/>
    <w:rsid w:val="002729CA"/>
    <w:rsid w:val="00275500"/>
    <w:rsid w:val="00275E65"/>
    <w:rsid w:val="00277DD9"/>
    <w:rsid w:val="00296696"/>
    <w:rsid w:val="002A3411"/>
    <w:rsid w:val="002B553E"/>
    <w:rsid w:val="002B7A91"/>
    <w:rsid w:val="002C4073"/>
    <w:rsid w:val="002C6EA3"/>
    <w:rsid w:val="002D667B"/>
    <w:rsid w:val="002D6726"/>
    <w:rsid w:val="002D697A"/>
    <w:rsid w:val="002D6FEA"/>
    <w:rsid w:val="002D741B"/>
    <w:rsid w:val="002E4B99"/>
    <w:rsid w:val="002F406C"/>
    <w:rsid w:val="002F505F"/>
    <w:rsid w:val="002F5437"/>
    <w:rsid w:val="003070AB"/>
    <w:rsid w:val="003100DA"/>
    <w:rsid w:val="00310200"/>
    <w:rsid w:val="00311A25"/>
    <w:rsid w:val="00315A02"/>
    <w:rsid w:val="00320611"/>
    <w:rsid w:val="00326DCB"/>
    <w:rsid w:val="00334925"/>
    <w:rsid w:val="00336A83"/>
    <w:rsid w:val="00347B5B"/>
    <w:rsid w:val="003503B4"/>
    <w:rsid w:val="0036291D"/>
    <w:rsid w:val="00370907"/>
    <w:rsid w:val="00370E1E"/>
    <w:rsid w:val="003735FF"/>
    <w:rsid w:val="00375223"/>
    <w:rsid w:val="00382338"/>
    <w:rsid w:val="00386200"/>
    <w:rsid w:val="0039552F"/>
    <w:rsid w:val="00396721"/>
    <w:rsid w:val="003A2D4C"/>
    <w:rsid w:val="003A385A"/>
    <w:rsid w:val="003B044A"/>
    <w:rsid w:val="003B6550"/>
    <w:rsid w:val="003C0780"/>
    <w:rsid w:val="003C191A"/>
    <w:rsid w:val="003C29D6"/>
    <w:rsid w:val="003C2F37"/>
    <w:rsid w:val="003C2F64"/>
    <w:rsid w:val="003C754C"/>
    <w:rsid w:val="003C7AE0"/>
    <w:rsid w:val="003D0CE1"/>
    <w:rsid w:val="003D1522"/>
    <w:rsid w:val="003D16B3"/>
    <w:rsid w:val="003D1DBA"/>
    <w:rsid w:val="003E2C52"/>
    <w:rsid w:val="003E72FD"/>
    <w:rsid w:val="003F229B"/>
    <w:rsid w:val="003F4C1E"/>
    <w:rsid w:val="0040634F"/>
    <w:rsid w:val="00411D83"/>
    <w:rsid w:val="00416088"/>
    <w:rsid w:val="004173E1"/>
    <w:rsid w:val="00417D2B"/>
    <w:rsid w:val="00421AE7"/>
    <w:rsid w:val="00422355"/>
    <w:rsid w:val="00423863"/>
    <w:rsid w:val="004255C3"/>
    <w:rsid w:val="004307D8"/>
    <w:rsid w:val="004326EA"/>
    <w:rsid w:val="0043446C"/>
    <w:rsid w:val="00434F94"/>
    <w:rsid w:val="00435390"/>
    <w:rsid w:val="00435649"/>
    <w:rsid w:val="00440FD6"/>
    <w:rsid w:val="00443CA5"/>
    <w:rsid w:val="00450282"/>
    <w:rsid w:val="00450FFB"/>
    <w:rsid w:val="004531C7"/>
    <w:rsid w:val="00454298"/>
    <w:rsid w:val="004561BE"/>
    <w:rsid w:val="00460039"/>
    <w:rsid w:val="004601D8"/>
    <w:rsid w:val="00466E8C"/>
    <w:rsid w:val="0047365B"/>
    <w:rsid w:val="0047537A"/>
    <w:rsid w:val="00475EDD"/>
    <w:rsid w:val="004838AC"/>
    <w:rsid w:val="004872BB"/>
    <w:rsid w:val="004926B6"/>
    <w:rsid w:val="00493DA3"/>
    <w:rsid w:val="00496251"/>
    <w:rsid w:val="004A767A"/>
    <w:rsid w:val="004A7763"/>
    <w:rsid w:val="004B15C3"/>
    <w:rsid w:val="004B659D"/>
    <w:rsid w:val="004C1397"/>
    <w:rsid w:val="004C272F"/>
    <w:rsid w:val="004D50BE"/>
    <w:rsid w:val="004D51CA"/>
    <w:rsid w:val="004F4D2B"/>
    <w:rsid w:val="00504701"/>
    <w:rsid w:val="00504FC2"/>
    <w:rsid w:val="00513194"/>
    <w:rsid w:val="005159A6"/>
    <w:rsid w:val="00516A60"/>
    <w:rsid w:val="0051713A"/>
    <w:rsid w:val="00521625"/>
    <w:rsid w:val="00523BAF"/>
    <w:rsid w:val="00524E7C"/>
    <w:rsid w:val="00526028"/>
    <w:rsid w:val="00533B06"/>
    <w:rsid w:val="00534227"/>
    <w:rsid w:val="00535BAA"/>
    <w:rsid w:val="00537F9D"/>
    <w:rsid w:val="005436EE"/>
    <w:rsid w:val="00545E92"/>
    <w:rsid w:val="00551176"/>
    <w:rsid w:val="00555338"/>
    <w:rsid w:val="005559BD"/>
    <w:rsid w:val="00555FFE"/>
    <w:rsid w:val="00560D03"/>
    <w:rsid w:val="00564847"/>
    <w:rsid w:val="00566BD1"/>
    <w:rsid w:val="0057100E"/>
    <w:rsid w:val="0057115D"/>
    <w:rsid w:val="00572966"/>
    <w:rsid w:val="0057434A"/>
    <w:rsid w:val="00583D66"/>
    <w:rsid w:val="005919EB"/>
    <w:rsid w:val="00591C0A"/>
    <w:rsid w:val="00591DCE"/>
    <w:rsid w:val="00597B8C"/>
    <w:rsid w:val="005A1998"/>
    <w:rsid w:val="005A1DB5"/>
    <w:rsid w:val="005A1DDF"/>
    <w:rsid w:val="005A526C"/>
    <w:rsid w:val="005A65B5"/>
    <w:rsid w:val="005B22AC"/>
    <w:rsid w:val="005B5F3F"/>
    <w:rsid w:val="005C51DF"/>
    <w:rsid w:val="005C628A"/>
    <w:rsid w:val="005D0A26"/>
    <w:rsid w:val="005D141C"/>
    <w:rsid w:val="005D4070"/>
    <w:rsid w:val="005D75DB"/>
    <w:rsid w:val="005E2A42"/>
    <w:rsid w:val="005E3C02"/>
    <w:rsid w:val="005E5E33"/>
    <w:rsid w:val="005E6233"/>
    <w:rsid w:val="005F0483"/>
    <w:rsid w:val="005F7693"/>
    <w:rsid w:val="0060505E"/>
    <w:rsid w:val="0060615A"/>
    <w:rsid w:val="00611FEB"/>
    <w:rsid w:val="006122FE"/>
    <w:rsid w:val="00615428"/>
    <w:rsid w:val="00616B53"/>
    <w:rsid w:val="00634F05"/>
    <w:rsid w:val="006366D1"/>
    <w:rsid w:val="00637623"/>
    <w:rsid w:val="00640E4D"/>
    <w:rsid w:val="00650FB5"/>
    <w:rsid w:val="006519A8"/>
    <w:rsid w:val="00653DED"/>
    <w:rsid w:val="00655344"/>
    <w:rsid w:val="00660641"/>
    <w:rsid w:val="006662C3"/>
    <w:rsid w:val="006666A5"/>
    <w:rsid w:val="0067150E"/>
    <w:rsid w:val="00674C82"/>
    <w:rsid w:val="00675639"/>
    <w:rsid w:val="00675DC2"/>
    <w:rsid w:val="00682152"/>
    <w:rsid w:val="00685417"/>
    <w:rsid w:val="00686DB0"/>
    <w:rsid w:val="00696844"/>
    <w:rsid w:val="00697876"/>
    <w:rsid w:val="006A0AC3"/>
    <w:rsid w:val="006A3BBB"/>
    <w:rsid w:val="006A5792"/>
    <w:rsid w:val="006B2F2C"/>
    <w:rsid w:val="006B456F"/>
    <w:rsid w:val="006C2ABF"/>
    <w:rsid w:val="006C4784"/>
    <w:rsid w:val="006C5AB9"/>
    <w:rsid w:val="006C7E75"/>
    <w:rsid w:val="006D40A7"/>
    <w:rsid w:val="006E44F8"/>
    <w:rsid w:val="006F10C9"/>
    <w:rsid w:val="006F3DCB"/>
    <w:rsid w:val="0070116F"/>
    <w:rsid w:val="00704604"/>
    <w:rsid w:val="00710113"/>
    <w:rsid w:val="007107F0"/>
    <w:rsid w:val="00711D09"/>
    <w:rsid w:val="007152B4"/>
    <w:rsid w:val="007158D1"/>
    <w:rsid w:val="007262CD"/>
    <w:rsid w:val="00726A3D"/>
    <w:rsid w:val="007316C8"/>
    <w:rsid w:val="00733B5E"/>
    <w:rsid w:val="007363A1"/>
    <w:rsid w:val="007441FC"/>
    <w:rsid w:val="00745CBA"/>
    <w:rsid w:val="00752069"/>
    <w:rsid w:val="00755446"/>
    <w:rsid w:val="0076041A"/>
    <w:rsid w:val="007639FD"/>
    <w:rsid w:val="0076456D"/>
    <w:rsid w:val="007717AA"/>
    <w:rsid w:val="0077209B"/>
    <w:rsid w:val="00781822"/>
    <w:rsid w:val="007914B9"/>
    <w:rsid w:val="007914D3"/>
    <w:rsid w:val="0079226A"/>
    <w:rsid w:val="007A7114"/>
    <w:rsid w:val="007B1010"/>
    <w:rsid w:val="007B1D37"/>
    <w:rsid w:val="007B2266"/>
    <w:rsid w:val="007B2755"/>
    <w:rsid w:val="007B41E8"/>
    <w:rsid w:val="007C115B"/>
    <w:rsid w:val="007C1520"/>
    <w:rsid w:val="007D0CF0"/>
    <w:rsid w:val="007D1069"/>
    <w:rsid w:val="007D2102"/>
    <w:rsid w:val="007D2A2F"/>
    <w:rsid w:val="007D4516"/>
    <w:rsid w:val="007D63C1"/>
    <w:rsid w:val="007D7E96"/>
    <w:rsid w:val="007E1AB8"/>
    <w:rsid w:val="007E4008"/>
    <w:rsid w:val="007E4E83"/>
    <w:rsid w:val="007E520B"/>
    <w:rsid w:val="007E6584"/>
    <w:rsid w:val="00800DC7"/>
    <w:rsid w:val="00812BE9"/>
    <w:rsid w:val="0081329B"/>
    <w:rsid w:val="0082256D"/>
    <w:rsid w:val="0082365C"/>
    <w:rsid w:val="008254C9"/>
    <w:rsid w:val="00827FB9"/>
    <w:rsid w:val="008323F9"/>
    <w:rsid w:val="00833E48"/>
    <w:rsid w:val="00834228"/>
    <w:rsid w:val="008363DB"/>
    <w:rsid w:val="00840CFF"/>
    <w:rsid w:val="0084498B"/>
    <w:rsid w:val="00845E4B"/>
    <w:rsid w:val="008464E4"/>
    <w:rsid w:val="008470DF"/>
    <w:rsid w:val="00852717"/>
    <w:rsid w:val="00855FD4"/>
    <w:rsid w:val="00861B94"/>
    <w:rsid w:val="00864A5A"/>
    <w:rsid w:val="00867038"/>
    <w:rsid w:val="008730B4"/>
    <w:rsid w:val="008735CE"/>
    <w:rsid w:val="00881492"/>
    <w:rsid w:val="0088667D"/>
    <w:rsid w:val="008872E2"/>
    <w:rsid w:val="00887C23"/>
    <w:rsid w:val="00893BE7"/>
    <w:rsid w:val="008940B2"/>
    <w:rsid w:val="0089670E"/>
    <w:rsid w:val="008A6513"/>
    <w:rsid w:val="008B47D4"/>
    <w:rsid w:val="008C15C2"/>
    <w:rsid w:val="008C26E2"/>
    <w:rsid w:val="008C33FD"/>
    <w:rsid w:val="008C780F"/>
    <w:rsid w:val="008D10E3"/>
    <w:rsid w:val="008D6C66"/>
    <w:rsid w:val="008E0321"/>
    <w:rsid w:val="008E072C"/>
    <w:rsid w:val="008E111A"/>
    <w:rsid w:val="008E2B54"/>
    <w:rsid w:val="008E587C"/>
    <w:rsid w:val="008E5D70"/>
    <w:rsid w:val="008E5DE0"/>
    <w:rsid w:val="008F16AC"/>
    <w:rsid w:val="008F57DD"/>
    <w:rsid w:val="009005B7"/>
    <w:rsid w:val="009028BC"/>
    <w:rsid w:val="00902BAD"/>
    <w:rsid w:val="009063D2"/>
    <w:rsid w:val="009108E5"/>
    <w:rsid w:val="0091662E"/>
    <w:rsid w:val="009229F6"/>
    <w:rsid w:val="00923654"/>
    <w:rsid w:val="00926808"/>
    <w:rsid w:val="00931478"/>
    <w:rsid w:val="00932C4D"/>
    <w:rsid w:val="00933068"/>
    <w:rsid w:val="009353FC"/>
    <w:rsid w:val="009414F8"/>
    <w:rsid w:val="009458AD"/>
    <w:rsid w:val="00945B1C"/>
    <w:rsid w:val="009465D3"/>
    <w:rsid w:val="00950802"/>
    <w:rsid w:val="00964B30"/>
    <w:rsid w:val="00966CB6"/>
    <w:rsid w:val="00973387"/>
    <w:rsid w:val="00975B11"/>
    <w:rsid w:val="00981D6C"/>
    <w:rsid w:val="00983AB1"/>
    <w:rsid w:val="009845EF"/>
    <w:rsid w:val="00992068"/>
    <w:rsid w:val="00993E1B"/>
    <w:rsid w:val="00996AF8"/>
    <w:rsid w:val="00996E27"/>
    <w:rsid w:val="009B1BC0"/>
    <w:rsid w:val="009C14E7"/>
    <w:rsid w:val="009C25A0"/>
    <w:rsid w:val="009C7F89"/>
    <w:rsid w:val="009D1378"/>
    <w:rsid w:val="009D1464"/>
    <w:rsid w:val="009D1BDF"/>
    <w:rsid w:val="009E2F35"/>
    <w:rsid w:val="009E4F2A"/>
    <w:rsid w:val="009E68F2"/>
    <w:rsid w:val="009F292F"/>
    <w:rsid w:val="009F4B8F"/>
    <w:rsid w:val="00A01BBE"/>
    <w:rsid w:val="00A12862"/>
    <w:rsid w:val="00A12A89"/>
    <w:rsid w:val="00A154A1"/>
    <w:rsid w:val="00A16D4E"/>
    <w:rsid w:val="00A17145"/>
    <w:rsid w:val="00A174DD"/>
    <w:rsid w:val="00A20250"/>
    <w:rsid w:val="00A206A2"/>
    <w:rsid w:val="00A23AB4"/>
    <w:rsid w:val="00A249A2"/>
    <w:rsid w:val="00A26B32"/>
    <w:rsid w:val="00A32817"/>
    <w:rsid w:val="00A375E2"/>
    <w:rsid w:val="00A404C1"/>
    <w:rsid w:val="00A41155"/>
    <w:rsid w:val="00A418AC"/>
    <w:rsid w:val="00A500CA"/>
    <w:rsid w:val="00A57CC9"/>
    <w:rsid w:val="00A65F06"/>
    <w:rsid w:val="00A715B5"/>
    <w:rsid w:val="00A72A79"/>
    <w:rsid w:val="00A806EE"/>
    <w:rsid w:val="00A81558"/>
    <w:rsid w:val="00A833AB"/>
    <w:rsid w:val="00A86942"/>
    <w:rsid w:val="00A95E5F"/>
    <w:rsid w:val="00A963E5"/>
    <w:rsid w:val="00A96FD1"/>
    <w:rsid w:val="00A9760D"/>
    <w:rsid w:val="00A9790B"/>
    <w:rsid w:val="00AA1F3B"/>
    <w:rsid w:val="00AA5BCB"/>
    <w:rsid w:val="00AA71EA"/>
    <w:rsid w:val="00AA7A77"/>
    <w:rsid w:val="00AA7F99"/>
    <w:rsid w:val="00AB5F00"/>
    <w:rsid w:val="00AC40A4"/>
    <w:rsid w:val="00AC7583"/>
    <w:rsid w:val="00AC7CB6"/>
    <w:rsid w:val="00AD189A"/>
    <w:rsid w:val="00AE3BC3"/>
    <w:rsid w:val="00AE7ECB"/>
    <w:rsid w:val="00AF2D9E"/>
    <w:rsid w:val="00B00D0E"/>
    <w:rsid w:val="00B027D0"/>
    <w:rsid w:val="00B03B13"/>
    <w:rsid w:val="00B03BB1"/>
    <w:rsid w:val="00B03BFC"/>
    <w:rsid w:val="00B049B9"/>
    <w:rsid w:val="00B07E79"/>
    <w:rsid w:val="00B10BD8"/>
    <w:rsid w:val="00B16B07"/>
    <w:rsid w:val="00B22FF6"/>
    <w:rsid w:val="00B238DE"/>
    <w:rsid w:val="00B24470"/>
    <w:rsid w:val="00B24889"/>
    <w:rsid w:val="00B2559C"/>
    <w:rsid w:val="00B25E4D"/>
    <w:rsid w:val="00B40116"/>
    <w:rsid w:val="00B435E6"/>
    <w:rsid w:val="00B452A1"/>
    <w:rsid w:val="00B510FB"/>
    <w:rsid w:val="00B54116"/>
    <w:rsid w:val="00B54816"/>
    <w:rsid w:val="00B65B78"/>
    <w:rsid w:val="00B670D2"/>
    <w:rsid w:val="00B67303"/>
    <w:rsid w:val="00B705A4"/>
    <w:rsid w:val="00B7086E"/>
    <w:rsid w:val="00B716AF"/>
    <w:rsid w:val="00B7622D"/>
    <w:rsid w:val="00B8160D"/>
    <w:rsid w:val="00B852B9"/>
    <w:rsid w:val="00B86EBC"/>
    <w:rsid w:val="00B9057F"/>
    <w:rsid w:val="00B953C7"/>
    <w:rsid w:val="00B96C81"/>
    <w:rsid w:val="00BA4F8C"/>
    <w:rsid w:val="00BB0832"/>
    <w:rsid w:val="00BB1A6E"/>
    <w:rsid w:val="00BB1C69"/>
    <w:rsid w:val="00BB23D6"/>
    <w:rsid w:val="00BB4A01"/>
    <w:rsid w:val="00BB70B0"/>
    <w:rsid w:val="00BC42C9"/>
    <w:rsid w:val="00BD676A"/>
    <w:rsid w:val="00BD6CF5"/>
    <w:rsid w:val="00BE11D1"/>
    <w:rsid w:val="00BE15E3"/>
    <w:rsid w:val="00BE21C9"/>
    <w:rsid w:val="00BE2CE7"/>
    <w:rsid w:val="00BE3AFF"/>
    <w:rsid w:val="00BF0479"/>
    <w:rsid w:val="00BF0B33"/>
    <w:rsid w:val="00BF0CAC"/>
    <w:rsid w:val="00BF1769"/>
    <w:rsid w:val="00BF30CA"/>
    <w:rsid w:val="00BF4677"/>
    <w:rsid w:val="00BF7C56"/>
    <w:rsid w:val="00C031E4"/>
    <w:rsid w:val="00C1149C"/>
    <w:rsid w:val="00C20996"/>
    <w:rsid w:val="00C20C00"/>
    <w:rsid w:val="00C22B9C"/>
    <w:rsid w:val="00C22DCA"/>
    <w:rsid w:val="00C24AE7"/>
    <w:rsid w:val="00C25B7A"/>
    <w:rsid w:val="00C26E23"/>
    <w:rsid w:val="00C32B4A"/>
    <w:rsid w:val="00C335F2"/>
    <w:rsid w:val="00C34A47"/>
    <w:rsid w:val="00C36DF9"/>
    <w:rsid w:val="00C3761D"/>
    <w:rsid w:val="00C460A9"/>
    <w:rsid w:val="00C474E0"/>
    <w:rsid w:val="00C478AD"/>
    <w:rsid w:val="00C541D3"/>
    <w:rsid w:val="00C71AE5"/>
    <w:rsid w:val="00C72222"/>
    <w:rsid w:val="00C73626"/>
    <w:rsid w:val="00C74A0C"/>
    <w:rsid w:val="00C75D41"/>
    <w:rsid w:val="00C80FF3"/>
    <w:rsid w:val="00C83C6D"/>
    <w:rsid w:val="00C841E7"/>
    <w:rsid w:val="00C853D0"/>
    <w:rsid w:val="00C9338A"/>
    <w:rsid w:val="00C95D65"/>
    <w:rsid w:val="00C96AAC"/>
    <w:rsid w:val="00CA0144"/>
    <w:rsid w:val="00CA1BC3"/>
    <w:rsid w:val="00CA209A"/>
    <w:rsid w:val="00CA5412"/>
    <w:rsid w:val="00CB0618"/>
    <w:rsid w:val="00CB3693"/>
    <w:rsid w:val="00CB4D53"/>
    <w:rsid w:val="00CB756F"/>
    <w:rsid w:val="00CC1640"/>
    <w:rsid w:val="00CC45AD"/>
    <w:rsid w:val="00CC7200"/>
    <w:rsid w:val="00CD3499"/>
    <w:rsid w:val="00CE46DC"/>
    <w:rsid w:val="00CF251F"/>
    <w:rsid w:val="00CF40EE"/>
    <w:rsid w:val="00CF5561"/>
    <w:rsid w:val="00D05B1B"/>
    <w:rsid w:val="00D105EF"/>
    <w:rsid w:val="00D1294A"/>
    <w:rsid w:val="00D2023B"/>
    <w:rsid w:val="00D205EA"/>
    <w:rsid w:val="00D22755"/>
    <w:rsid w:val="00D30377"/>
    <w:rsid w:val="00D32ADF"/>
    <w:rsid w:val="00D3767B"/>
    <w:rsid w:val="00D42A51"/>
    <w:rsid w:val="00D447AC"/>
    <w:rsid w:val="00D453B4"/>
    <w:rsid w:val="00D54AE0"/>
    <w:rsid w:val="00D643E1"/>
    <w:rsid w:val="00D7284A"/>
    <w:rsid w:val="00D838DA"/>
    <w:rsid w:val="00D839EE"/>
    <w:rsid w:val="00D84266"/>
    <w:rsid w:val="00D84AAE"/>
    <w:rsid w:val="00D868C0"/>
    <w:rsid w:val="00D92FD7"/>
    <w:rsid w:val="00D945E6"/>
    <w:rsid w:val="00DA6423"/>
    <w:rsid w:val="00DA7126"/>
    <w:rsid w:val="00DB17DE"/>
    <w:rsid w:val="00DB6946"/>
    <w:rsid w:val="00DC2C35"/>
    <w:rsid w:val="00DD08B3"/>
    <w:rsid w:val="00DD0F3A"/>
    <w:rsid w:val="00DD5406"/>
    <w:rsid w:val="00DD5669"/>
    <w:rsid w:val="00DD5F27"/>
    <w:rsid w:val="00DF257B"/>
    <w:rsid w:val="00DF5065"/>
    <w:rsid w:val="00E041BD"/>
    <w:rsid w:val="00E047B0"/>
    <w:rsid w:val="00E10858"/>
    <w:rsid w:val="00E1433A"/>
    <w:rsid w:val="00E21972"/>
    <w:rsid w:val="00E22E3B"/>
    <w:rsid w:val="00E30732"/>
    <w:rsid w:val="00E41726"/>
    <w:rsid w:val="00E41CBE"/>
    <w:rsid w:val="00E46685"/>
    <w:rsid w:val="00E52A27"/>
    <w:rsid w:val="00E538E7"/>
    <w:rsid w:val="00E544DE"/>
    <w:rsid w:val="00E56632"/>
    <w:rsid w:val="00E571DD"/>
    <w:rsid w:val="00E578DB"/>
    <w:rsid w:val="00E70C0A"/>
    <w:rsid w:val="00E75F51"/>
    <w:rsid w:val="00E90A3B"/>
    <w:rsid w:val="00E90D1D"/>
    <w:rsid w:val="00E9200E"/>
    <w:rsid w:val="00E960C3"/>
    <w:rsid w:val="00EA56C7"/>
    <w:rsid w:val="00EB0259"/>
    <w:rsid w:val="00EB37E7"/>
    <w:rsid w:val="00EB56E0"/>
    <w:rsid w:val="00EB7C09"/>
    <w:rsid w:val="00EC3C95"/>
    <w:rsid w:val="00EC4732"/>
    <w:rsid w:val="00ED0862"/>
    <w:rsid w:val="00ED38AC"/>
    <w:rsid w:val="00ED4D7B"/>
    <w:rsid w:val="00EE18FF"/>
    <w:rsid w:val="00EE4874"/>
    <w:rsid w:val="00EE6A82"/>
    <w:rsid w:val="00EF3D6A"/>
    <w:rsid w:val="00EF776E"/>
    <w:rsid w:val="00F000BE"/>
    <w:rsid w:val="00F02BD4"/>
    <w:rsid w:val="00F0381C"/>
    <w:rsid w:val="00F07A6E"/>
    <w:rsid w:val="00F11BB9"/>
    <w:rsid w:val="00F12612"/>
    <w:rsid w:val="00F13C34"/>
    <w:rsid w:val="00F209F2"/>
    <w:rsid w:val="00F233AC"/>
    <w:rsid w:val="00F26C59"/>
    <w:rsid w:val="00F27B09"/>
    <w:rsid w:val="00F27DF0"/>
    <w:rsid w:val="00F3094E"/>
    <w:rsid w:val="00F31B11"/>
    <w:rsid w:val="00F35FB2"/>
    <w:rsid w:val="00F41639"/>
    <w:rsid w:val="00F43D9C"/>
    <w:rsid w:val="00F47730"/>
    <w:rsid w:val="00F509AA"/>
    <w:rsid w:val="00F53A4F"/>
    <w:rsid w:val="00F54414"/>
    <w:rsid w:val="00F57831"/>
    <w:rsid w:val="00F603A9"/>
    <w:rsid w:val="00F61577"/>
    <w:rsid w:val="00F62C39"/>
    <w:rsid w:val="00F6530B"/>
    <w:rsid w:val="00F6753C"/>
    <w:rsid w:val="00F7081F"/>
    <w:rsid w:val="00F747E7"/>
    <w:rsid w:val="00F754C5"/>
    <w:rsid w:val="00F76B5F"/>
    <w:rsid w:val="00F77B16"/>
    <w:rsid w:val="00F77E3A"/>
    <w:rsid w:val="00F839B4"/>
    <w:rsid w:val="00F8402A"/>
    <w:rsid w:val="00F85D34"/>
    <w:rsid w:val="00F87A69"/>
    <w:rsid w:val="00F91166"/>
    <w:rsid w:val="00F97635"/>
    <w:rsid w:val="00FA01A9"/>
    <w:rsid w:val="00FA036D"/>
    <w:rsid w:val="00FA4EBC"/>
    <w:rsid w:val="00FA635F"/>
    <w:rsid w:val="00FA7D3B"/>
    <w:rsid w:val="00FB1DB5"/>
    <w:rsid w:val="00FB2C15"/>
    <w:rsid w:val="00FB5361"/>
    <w:rsid w:val="00FC2939"/>
    <w:rsid w:val="00FC2C8C"/>
    <w:rsid w:val="00FC3AE8"/>
    <w:rsid w:val="00FD0F07"/>
    <w:rsid w:val="00FD180A"/>
    <w:rsid w:val="00FE2522"/>
    <w:rsid w:val="00FE2EE2"/>
    <w:rsid w:val="00FE3CCA"/>
    <w:rsid w:val="00FE6559"/>
    <w:rsid w:val="00FE7E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FFAC"/>
  <w14:defaultImageDpi w14:val="32767"/>
  <w15:chartTrackingRefBased/>
  <w15:docId w15:val="{D9494D55-3A7C-E947-8957-A5040E96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78"/>
    <w:rPr>
      <w:rFonts w:ascii="Times New Roman" w:eastAsia="Times New Roman" w:hAnsi="Times New Roman" w:cs="Times New Roman"/>
      <w:lang w:val="en-CA"/>
    </w:rPr>
  </w:style>
  <w:style w:type="paragraph" w:styleId="Heading2">
    <w:name w:val="heading 2"/>
    <w:basedOn w:val="Normal"/>
    <w:next w:val="Normal"/>
    <w:link w:val="Heading2Char"/>
    <w:uiPriority w:val="9"/>
    <w:unhideWhenUsed/>
    <w:qFormat/>
    <w:rsid w:val="00A23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252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7C09"/>
    <w:pPr>
      <w:tabs>
        <w:tab w:val="center" w:pos="4680"/>
        <w:tab w:val="right" w:pos="9360"/>
      </w:tabs>
    </w:pPr>
  </w:style>
  <w:style w:type="character" w:customStyle="1" w:styleId="FooterChar">
    <w:name w:val="Footer Char"/>
    <w:basedOn w:val="DefaultParagraphFont"/>
    <w:link w:val="Footer"/>
    <w:uiPriority w:val="99"/>
    <w:rsid w:val="00EB7C09"/>
    <w:rPr>
      <w:sz w:val="22"/>
      <w:szCs w:val="22"/>
      <w:lang w:val="en-CA" w:eastAsia="ko-KR"/>
    </w:rPr>
  </w:style>
  <w:style w:type="character" w:styleId="PageNumber">
    <w:name w:val="page number"/>
    <w:basedOn w:val="DefaultParagraphFont"/>
    <w:uiPriority w:val="99"/>
    <w:semiHidden/>
    <w:unhideWhenUsed/>
    <w:rsid w:val="00EB7C09"/>
  </w:style>
  <w:style w:type="paragraph" w:styleId="ListParagraph">
    <w:name w:val="List Paragraph"/>
    <w:basedOn w:val="Normal"/>
    <w:uiPriority w:val="34"/>
    <w:qFormat/>
    <w:rsid w:val="00F747E7"/>
    <w:pPr>
      <w:ind w:left="720"/>
      <w:contextualSpacing/>
    </w:pPr>
  </w:style>
  <w:style w:type="character" w:styleId="Emphasis">
    <w:name w:val="Emphasis"/>
    <w:basedOn w:val="DefaultParagraphFont"/>
    <w:uiPriority w:val="20"/>
    <w:qFormat/>
    <w:rsid w:val="00BB1A6E"/>
    <w:rPr>
      <w:i/>
      <w:iCs/>
    </w:rPr>
  </w:style>
  <w:style w:type="paragraph" w:styleId="FootnoteText">
    <w:name w:val="footnote text"/>
    <w:basedOn w:val="Normal"/>
    <w:link w:val="FootnoteTextChar"/>
    <w:uiPriority w:val="99"/>
    <w:semiHidden/>
    <w:unhideWhenUsed/>
    <w:rsid w:val="000E148A"/>
    <w:rPr>
      <w:sz w:val="20"/>
      <w:szCs w:val="20"/>
      <w:lang w:val="en-US"/>
    </w:rPr>
  </w:style>
  <w:style w:type="character" w:customStyle="1" w:styleId="FootnoteTextChar">
    <w:name w:val="Footnote Text Char"/>
    <w:basedOn w:val="DefaultParagraphFont"/>
    <w:link w:val="FootnoteText"/>
    <w:uiPriority w:val="99"/>
    <w:semiHidden/>
    <w:rsid w:val="000E148A"/>
    <w:rPr>
      <w:sz w:val="20"/>
      <w:szCs w:val="20"/>
    </w:rPr>
  </w:style>
  <w:style w:type="character" w:styleId="FootnoteReference">
    <w:name w:val="footnote reference"/>
    <w:basedOn w:val="DefaultParagraphFont"/>
    <w:uiPriority w:val="99"/>
    <w:unhideWhenUsed/>
    <w:rsid w:val="000E148A"/>
    <w:rPr>
      <w:vertAlign w:val="superscript"/>
    </w:rPr>
  </w:style>
  <w:style w:type="character" w:customStyle="1" w:styleId="Heading3Char">
    <w:name w:val="Heading 3 Char"/>
    <w:basedOn w:val="DefaultParagraphFont"/>
    <w:link w:val="Heading3"/>
    <w:uiPriority w:val="9"/>
    <w:rsid w:val="00FE2522"/>
    <w:rPr>
      <w:rFonts w:ascii="Times New Roman" w:eastAsia="Times New Roman" w:hAnsi="Times New Roman" w:cs="Times New Roman"/>
      <w:b/>
      <w:bCs/>
      <w:sz w:val="27"/>
      <w:szCs w:val="27"/>
      <w:lang w:val="en-CA"/>
    </w:rPr>
  </w:style>
  <w:style w:type="character" w:customStyle="1" w:styleId="Heading2Char">
    <w:name w:val="Heading 2 Char"/>
    <w:basedOn w:val="DefaultParagraphFont"/>
    <w:link w:val="Heading2"/>
    <w:uiPriority w:val="9"/>
    <w:rsid w:val="00A23AB4"/>
    <w:rPr>
      <w:rFonts w:asciiTheme="majorHAnsi" w:eastAsiaTheme="majorEastAsia" w:hAnsiTheme="majorHAnsi" w:cstheme="majorBidi"/>
      <w:color w:val="2F5496" w:themeColor="accent1" w:themeShade="BF"/>
      <w:sz w:val="26"/>
      <w:szCs w:val="26"/>
      <w:lang w:val="en-CA"/>
    </w:rPr>
  </w:style>
  <w:style w:type="paragraph" w:styleId="NormalWeb">
    <w:name w:val="Normal (Web)"/>
    <w:basedOn w:val="Normal"/>
    <w:uiPriority w:val="99"/>
    <w:unhideWhenUsed/>
    <w:rsid w:val="00B049B9"/>
    <w:pPr>
      <w:spacing w:before="100" w:beforeAutospacing="1" w:after="100" w:afterAutospacing="1"/>
    </w:pPr>
  </w:style>
  <w:style w:type="character" w:customStyle="1" w:styleId="apple-tab-span">
    <w:name w:val="apple-tab-span"/>
    <w:basedOn w:val="DefaultParagraphFont"/>
    <w:rsid w:val="00682152"/>
  </w:style>
  <w:style w:type="character" w:styleId="CommentReference">
    <w:name w:val="annotation reference"/>
    <w:basedOn w:val="DefaultParagraphFont"/>
    <w:uiPriority w:val="99"/>
    <w:semiHidden/>
    <w:unhideWhenUsed/>
    <w:rsid w:val="00827FB9"/>
    <w:rPr>
      <w:sz w:val="16"/>
      <w:szCs w:val="16"/>
    </w:rPr>
  </w:style>
  <w:style w:type="paragraph" w:styleId="CommentText">
    <w:name w:val="annotation text"/>
    <w:basedOn w:val="Normal"/>
    <w:link w:val="CommentTextChar"/>
    <w:uiPriority w:val="99"/>
    <w:semiHidden/>
    <w:unhideWhenUsed/>
    <w:rsid w:val="00827FB9"/>
    <w:rPr>
      <w:sz w:val="20"/>
      <w:szCs w:val="20"/>
    </w:rPr>
  </w:style>
  <w:style w:type="character" w:customStyle="1" w:styleId="CommentTextChar">
    <w:name w:val="Comment Text Char"/>
    <w:basedOn w:val="DefaultParagraphFont"/>
    <w:link w:val="CommentText"/>
    <w:uiPriority w:val="99"/>
    <w:semiHidden/>
    <w:rsid w:val="00827FB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27FB9"/>
    <w:rPr>
      <w:b/>
      <w:bCs/>
    </w:rPr>
  </w:style>
  <w:style w:type="character" w:customStyle="1" w:styleId="CommentSubjectChar">
    <w:name w:val="Comment Subject Char"/>
    <w:basedOn w:val="CommentTextChar"/>
    <w:link w:val="CommentSubject"/>
    <w:uiPriority w:val="99"/>
    <w:semiHidden/>
    <w:rsid w:val="00827FB9"/>
    <w:rPr>
      <w:rFonts w:ascii="Times New Roman" w:eastAsia="Times New Roman" w:hAnsi="Times New Roman" w:cs="Times New Roman"/>
      <w:b/>
      <w:bCs/>
      <w:sz w:val="20"/>
      <w:szCs w:val="20"/>
      <w:lang w:val="en-CA"/>
    </w:rPr>
  </w:style>
  <w:style w:type="paragraph" w:styleId="Revision">
    <w:name w:val="Revision"/>
    <w:hidden/>
    <w:uiPriority w:val="99"/>
    <w:semiHidden/>
    <w:rsid w:val="00560D03"/>
    <w:rPr>
      <w:rFonts w:ascii="Times New Roman" w:eastAsia="Times New Roman" w:hAnsi="Times New Roman" w:cs="Times New Roman"/>
      <w:lang w:val="en-CA"/>
    </w:rPr>
  </w:style>
  <w:style w:type="character" w:styleId="Hyperlink">
    <w:name w:val="Hyperlink"/>
    <w:basedOn w:val="DefaultParagraphFont"/>
    <w:uiPriority w:val="99"/>
    <w:unhideWhenUsed/>
    <w:rsid w:val="008940B2"/>
    <w:rPr>
      <w:color w:val="0000FF"/>
      <w:u w:val="single"/>
    </w:rPr>
  </w:style>
  <w:style w:type="character" w:customStyle="1" w:styleId="cohl">
    <w:name w:val="co_hl"/>
    <w:basedOn w:val="DefaultParagraphFont"/>
    <w:rsid w:val="005C51DF"/>
  </w:style>
  <w:style w:type="paragraph" w:styleId="BalloonText">
    <w:name w:val="Balloon Text"/>
    <w:basedOn w:val="Normal"/>
    <w:link w:val="BalloonTextChar"/>
    <w:uiPriority w:val="99"/>
    <w:semiHidden/>
    <w:unhideWhenUsed/>
    <w:rsid w:val="00964B30"/>
    <w:rPr>
      <w:sz w:val="18"/>
      <w:szCs w:val="18"/>
    </w:rPr>
  </w:style>
  <w:style w:type="character" w:customStyle="1" w:styleId="BalloonTextChar">
    <w:name w:val="Balloon Text Char"/>
    <w:basedOn w:val="DefaultParagraphFont"/>
    <w:link w:val="BalloonText"/>
    <w:uiPriority w:val="99"/>
    <w:semiHidden/>
    <w:rsid w:val="00964B30"/>
    <w:rPr>
      <w:rFonts w:ascii="Times New Roman" w:eastAsia="Times New Roman" w:hAnsi="Times New Roman" w:cs="Times New Roman"/>
      <w:sz w:val="18"/>
      <w:szCs w:val="18"/>
      <w:lang w:val="en-CA"/>
    </w:rPr>
  </w:style>
  <w:style w:type="character" w:customStyle="1" w:styleId="ssit">
    <w:name w:val="ss_it"/>
    <w:basedOn w:val="DefaultParagraphFont"/>
    <w:rsid w:val="00E21972"/>
  </w:style>
  <w:style w:type="character" w:customStyle="1" w:styleId="UnresolvedMention1">
    <w:name w:val="Unresolved Mention1"/>
    <w:basedOn w:val="DefaultParagraphFont"/>
    <w:uiPriority w:val="99"/>
    <w:rsid w:val="00091112"/>
    <w:rPr>
      <w:color w:val="605E5C"/>
      <w:shd w:val="clear" w:color="auto" w:fill="E1DFDD"/>
    </w:rPr>
  </w:style>
  <w:style w:type="character" w:styleId="FollowedHyperlink">
    <w:name w:val="FollowedHyperlink"/>
    <w:basedOn w:val="DefaultParagraphFont"/>
    <w:uiPriority w:val="99"/>
    <w:semiHidden/>
    <w:unhideWhenUsed/>
    <w:rsid w:val="00F00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7761">
      <w:bodyDiv w:val="1"/>
      <w:marLeft w:val="0"/>
      <w:marRight w:val="0"/>
      <w:marTop w:val="0"/>
      <w:marBottom w:val="0"/>
      <w:divBdr>
        <w:top w:val="none" w:sz="0" w:space="0" w:color="auto"/>
        <w:left w:val="none" w:sz="0" w:space="0" w:color="auto"/>
        <w:bottom w:val="none" w:sz="0" w:space="0" w:color="auto"/>
        <w:right w:val="none" w:sz="0" w:space="0" w:color="auto"/>
      </w:divBdr>
    </w:div>
    <w:div w:id="62068356">
      <w:bodyDiv w:val="1"/>
      <w:marLeft w:val="0"/>
      <w:marRight w:val="0"/>
      <w:marTop w:val="0"/>
      <w:marBottom w:val="0"/>
      <w:divBdr>
        <w:top w:val="none" w:sz="0" w:space="0" w:color="auto"/>
        <w:left w:val="none" w:sz="0" w:space="0" w:color="auto"/>
        <w:bottom w:val="none" w:sz="0" w:space="0" w:color="auto"/>
        <w:right w:val="none" w:sz="0" w:space="0" w:color="auto"/>
      </w:divBdr>
    </w:div>
    <w:div w:id="94207429">
      <w:bodyDiv w:val="1"/>
      <w:marLeft w:val="0"/>
      <w:marRight w:val="0"/>
      <w:marTop w:val="0"/>
      <w:marBottom w:val="0"/>
      <w:divBdr>
        <w:top w:val="none" w:sz="0" w:space="0" w:color="auto"/>
        <w:left w:val="none" w:sz="0" w:space="0" w:color="auto"/>
        <w:bottom w:val="none" w:sz="0" w:space="0" w:color="auto"/>
        <w:right w:val="none" w:sz="0" w:space="0" w:color="auto"/>
      </w:divBdr>
    </w:div>
    <w:div w:id="97021873">
      <w:bodyDiv w:val="1"/>
      <w:marLeft w:val="0"/>
      <w:marRight w:val="0"/>
      <w:marTop w:val="0"/>
      <w:marBottom w:val="0"/>
      <w:divBdr>
        <w:top w:val="none" w:sz="0" w:space="0" w:color="auto"/>
        <w:left w:val="none" w:sz="0" w:space="0" w:color="auto"/>
        <w:bottom w:val="none" w:sz="0" w:space="0" w:color="auto"/>
        <w:right w:val="none" w:sz="0" w:space="0" w:color="auto"/>
      </w:divBdr>
    </w:div>
    <w:div w:id="129594767">
      <w:bodyDiv w:val="1"/>
      <w:marLeft w:val="0"/>
      <w:marRight w:val="0"/>
      <w:marTop w:val="0"/>
      <w:marBottom w:val="0"/>
      <w:divBdr>
        <w:top w:val="none" w:sz="0" w:space="0" w:color="auto"/>
        <w:left w:val="none" w:sz="0" w:space="0" w:color="auto"/>
        <w:bottom w:val="none" w:sz="0" w:space="0" w:color="auto"/>
        <w:right w:val="none" w:sz="0" w:space="0" w:color="auto"/>
      </w:divBdr>
    </w:div>
    <w:div w:id="134836133">
      <w:bodyDiv w:val="1"/>
      <w:marLeft w:val="0"/>
      <w:marRight w:val="0"/>
      <w:marTop w:val="0"/>
      <w:marBottom w:val="0"/>
      <w:divBdr>
        <w:top w:val="none" w:sz="0" w:space="0" w:color="auto"/>
        <w:left w:val="none" w:sz="0" w:space="0" w:color="auto"/>
        <w:bottom w:val="none" w:sz="0" w:space="0" w:color="auto"/>
        <w:right w:val="none" w:sz="0" w:space="0" w:color="auto"/>
      </w:divBdr>
    </w:div>
    <w:div w:id="148182303">
      <w:bodyDiv w:val="1"/>
      <w:marLeft w:val="0"/>
      <w:marRight w:val="0"/>
      <w:marTop w:val="0"/>
      <w:marBottom w:val="0"/>
      <w:divBdr>
        <w:top w:val="none" w:sz="0" w:space="0" w:color="auto"/>
        <w:left w:val="none" w:sz="0" w:space="0" w:color="auto"/>
        <w:bottom w:val="none" w:sz="0" w:space="0" w:color="auto"/>
        <w:right w:val="none" w:sz="0" w:space="0" w:color="auto"/>
      </w:divBdr>
    </w:div>
    <w:div w:id="153953437">
      <w:bodyDiv w:val="1"/>
      <w:marLeft w:val="0"/>
      <w:marRight w:val="0"/>
      <w:marTop w:val="0"/>
      <w:marBottom w:val="0"/>
      <w:divBdr>
        <w:top w:val="none" w:sz="0" w:space="0" w:color="auto"/>
        <w:left w:val="none" w:sz="0" w:space="0" w:color="auto"/>
        <w:bottom w:val="none" w:sz="0" w:space="0" w:color="auto"/>
        <w:right w:val="none" w:sz="0" w:space="0" w:color="auto"/>
      </w:divBdr>
    </w:div>
    <w:div w:id="159279878">
      <w:bodyDiv w:val="1"/>
      <w:marLeft w:val="0"/>
      <w:marRight w:val="0"/>
      <w:marTop w:val="0"/>
      <w:marBottom w:val="0"/>
      <w:divBdr>
        <w:top w:val="none" w:sz="0" w:space="0" w:color="auto"/>
        <w:left w:val="none" w:sz="0" w:space="0" w:color="auto"/>
        <w:bottom w:val="none" w:sz="0" w:space="0" w:color="auto"/>
        <w:right w:val="none" w:sz="0" w:space="0" w:color="auto"/>
      </w:divBdr>
    </w:div>
    <w:div w:id="164054996">
      <w:bodyDiv w:val="1"/>
      <w:marLeft w:val="0"/>
      <w:marRight w:val="0"/>
      <w:marTop w:val="0"/>
      <w:marBottom w:val="0"/>
      <w:divBdr>
        <w:top w:val="none" w:sz="0" w:space="0" w:color="auto"/>
        <w:left w:val="none" w:sz="0" w:space="0" w:color="auto"/>
        <w:bottom w:val="none" w:sz="0" w:space="0" w:color="auto"/>
        <w:right w:val="none" w:sz="0" w:space="0" w:color="auto"/>
      </w:divBdr>
    </w:div>
    <w:div w:id="166869598">
      <w:bodyDiv w:val="1"/>
      <w:marLeft w:val="0"/>
      <w:marRight w:val="0"/>
      <w:marTop w:val="0"/>
      <w:marBottom w:val="0"/>
      <w:divBdr>
        <w:top w:val="none" w:sz="0" w:space="0" w:color="auto"/>
        <w:left w:val="none" w:sz="0" w:space="0" w:color="auto"/>
        <w:bottom w:val="none" w:sz="0" w:space="0" w:color="auto"/>
        <w:right w:val="none" w:sz="0" w:space="0" w:color="auto"/>
      </w:divBdr>
    </w:div>
    <w:div w:id="177815464">
      <w:bodyDiv w:val="1"/>
      <w:marLeft w:val="0"/>
      <w:marRight w:val="0"/>
      <w:marTop w:val="0"/>
      <w:marBottom w:val="0"/>
      <w:divBdr>
        <w:top w:val="none" w:sz="0" w:space="0" w:color="auto"/>
        <w:left w:val="none" w:sz="0" w:space="0" w:color="auto"/>
        <w:bottom w:val="none" w:sz="0" w:space="0" w:color="auto"/>
        <w:right w:val="none" w:sz="0" w:space="0" w:color="auto"/>
      </w:divBdr>
    </w:div>
    <w:div w:id="216209783">
      <w:bodyDiv w:val="1"/>
      <w:marLeft w:val="0"/>
      <w:marRight w:val="0"/>
      <w:marTop w:val="0"/>
      <w:marBottom w:val="0"/>
      <w:divBdr>
        <w:top w:val="none" w:sz="0" w:space="0" w:color="auto"/>
        <w:left w:val="none" w:sz="0" w:space="0" w:color="auto"/>
        <w:bottom w:val="none" w:sz="0" w:space="0" w:color="auto"/>
        <w:right w:val="none" w:sz="0" w:space="0" w:color="auto"/>
      </w:divBdr>
    </w:div>
    <w:div w:id="226458070">
      <w:bodyDiv w:val="1"/>
      <w:marLeft w:val="0"/>
      <w:marRight w:val="0"/>
      <w:marTop w:val="0"/>
      <w:marBottom w:val="0"/>
      <w:divBdr>
        <w:top w:val="none" w:sz="0" w:space="0" w:color="auto"/>
        <w:left w:val="none" w:sz="0" w:space="0" w:color="auto"/>
        <w:bottom w:val="none" w:sz="0" w:space="0" w:color="auto"/>
        <w:right w:val="none" w:sz="0" w:space="0" w:color="auto"/>
      </w:divBdr>
    </w:div>
    <w:div w:id="240724381">
      <w:bodyDiv w:val="1"/>
      <w:marLeft w:val="0"/>
      <w:marRight w:val="0"/>
      <w:marTop w:val="0"/>
      <w:marBottom w:val="0"/>
      <w:divBdr>
        <w:top w:val="none" w:sz="0" w:space="0" w:color="auto"/>
        <w:left w:val="none" w:sz="0" w:space="0" w:color="auto"/>
        <w:bottom w:val="none" w:sz="0" w:space="0" w:color="auto"/>
        <w:right w:val="none" w:sz="0" w:space="0" w:color="auto"/>
      </w:divBdr>
    </w:div>
    <w:div w:id="243415000">
      <w:bodyDiv w:val="1"/>
      <w:marLeft w:val="0"/>
      <w:marRight w:val="0"/>
      <w:marTop w:val="0"/>
      <w:marBottom w:val="0"/>
      <w:divBdr>
        <w:top w:val="none" w:sz="0" w:space="0" w:color="auto"/>
        <w:left w:val="none" w:sz="0" w:space="0" w:color="auto"/>
        <w:bottom w:val="none" w:sz="0" w:space="0" w:color="auto"/>
        <w:right w:val="none" w:sz="0" w:space="0" w:color="auto"/>
      </w:divBdr>
    </w:div>
    <w:div w:id="245119372">
      <w:bodyDiv w:val="1"/>
      <w:marLeft w:val="0"/>
      <w:marRight w:val="0"/>
      <w:marTop w:val="0"/>
      <w:marBottom w:val="0"/>
      <w:divBdr>
        <w:top w:val="none" w:sz="0" w:space="0" w:color="auto"/>
        <w:left w:val="none" w:sz="0" w:space="0" w:color="auto"/>
        <w:bottom w:val="none" w:sz="0" w:space="0" w:color="auto"/>
        <w:right w:val="none" w:sz="0" w:space="0" w:color="auto"/>
      </w:divBdr>
    </w:div>
    <w:div w:id="273710126">
      <w:bodyDiv w:val="1"/>
      <w:marLeft w:val="0"/>
      <w:marRight w:val="0"/>
      <w:marTop w:val="0"/>
      <w:marBottom w:val="0"/>
      <w:divBdr>
        <w:top w:val="none" w:sz="0" w:space="0" w:color="auto"/>
        <w:left w:val="none" w:sz="0" w:space="0" w:color="auto"/>
        <w:bottom w:val="none" w:sz="0" w:space="0" w:color="auto"/>
        <w:right w:val="none" w:sz="0" w:space="0" w:color="auto"/>
      </w:divBdr>
    </w:div>
    <w:div w:id="299266294">
      <w:bodyDiv w:val="1"/>
      <w:marLeft w:val="0"/>
      <w:marRight w:val="0"/>
      <w:marTop w:val="0"/>
      <w:marBottom w:val="0"/>
      <w:divBdr>
        <w:top w:val="none" w:sz="0" w:space="0" w:color="auto"/>
        <w:left w:val="none" w:sz="0" w:space="0" w:color="auto"/>
        <w:bottom w:val="none" w:sz="0" w:space="0" w:color="auto"/>
        <w:right w:val="none" w:sz="0" w:space="0" w:color="auto"/>
      </w:divBdr>
    </w:div>
    <w:div w:id="311449110">
      <w:bodyDiv w:val="1"/>
      <w:marLeft w:val="0"/>
      <w:marRight w:val="0"/>
      <w:marTop w:val="0"/>
      <w:marBottom w:val="0"/>
      <w:divBdr>
        <w:top w:val="none" w:sz="0" w:space="0" w:color="auto"/>
        <w:left w:val="none" w:sz="0" w:space="0" w:color="auto"/>
        <w:bottom w:val="none" w:sz="0" w:space="0" w:color="auto"/>
        <w:right w:val="none" w:sz="0" w:space="0" w:color="auto"/>
      </w:divBdr>
    </w:div>
    <w:div w:id="322591697">
      <w:bodyDiv w:val="1"/>
      <w:marLeft w:val="0"/>
      <w:marRight w:val="0"/>
      <w:marTop w:val="0"/>
      <w:marBottom w:val="0"/>
      <w:divBdr>
        <w:top w:val="none" w:sz="0" w:space="0" w:color="auto"/>
        <w:left w:val="none" w:sz="0" w:space="0" w:color="auto"/>
        <w:bottom w:val="none" w:sz="0" w:space="0" w:color="auto"/>
        <w:right w:val="none" w:sz="0" w:space="0" w:color="auto"/>
      </w:divBdr>
    </w:div>
    <w:div w:id="326596837">
      <w:bodyDiv w:val="1"/>
      <w:marLeft w:val="0"/>
      <w:marRight w:val="0"/>
      <w:marTop w:val="0"/>
      <w:marBottom w:val="0"/>
      <w:divBdr>
        <w:top w:val="none" w:sz="0" w:space="0" w:color="auto"/>
        <w:left w:val="none" w:sz="0" w:space="0" w:color="auto"/>
        <w:bottom w:val="none" w:sz="0" w:space="0" w:color="auto"/>
        <w:right w:val="none" w:sz="0" w:space="0" w:color="auto"/>
      </w:divBdr>
    </w:div>
    <w:div w:id="349378427">
      <w:bodyDiv w:val="1"/>
      <w:marLeft w:val="0"/>
      <w:marRight w:val="0"/>
      <w:marTop w:val="0"/>
      <w:marBottom w:val="0"/>
      <w:divBdr>
        <w:top w:val="none" w:sz="0" w:space="0" w:color="auto"/>
        <w:left w:val="none" w:sz="0" w:space="0" w:color="auto"/>
        <w:bottom w:val="none" w:sz="0" w:space="0" w:color="auto"/>
        <w:right w:val="none" w:sz="0" w:space="0" w:color="auto"/>
      </w:divBdr>
    </w:div>
    <w:div w:id="368343421">
      <w:bodyDiv w:val="1"/>
      <w:marLeft w:val="0"/>
      <w:marRight w:val="0"/>
      <w:marTop w:val="0"/>
      <w:marBottom w:val="0"/>
      <w:divBdr>
        <w:top w:val="none" w:sz="0" w:space="0" w:color="auto"/>
        <w:left w:val="none" w:sz="0" w:space="0" w:color="auto"/>
        <w:bottom w:val="none" w:sz="0" w:space="0" w:color="auto"/>
        <w:right w:val="none" w:sz="0" w:space="0" w:color="auto"/>
      </w:divBdr>
    </w:div>
    <w:div w:id="373775966">
      <w:bodyDiv w:val="1"/>
      <w:marLeft w:val="0"/>
      <w:marRight w:val="0"/>
      <w:marTop w:val="0"/>
      <w:marBottom w:val="0"/>
      <w:divBdr>
        <w:top w:val="none" w:sz="0" w:space="0" w:color="auto"/>
        <w:left w:val="none" w:sz="0" w:space="0" w:color="auto"/>
        <w:bottom w:val="none" w:sz="0" w:space="0" w:color="auto"/>
        <w:right w:val="none" w:sz="0" w:space="0" w:color="auto"/>
      </w:divBdr>
    </w:div>
    <w:div w:id="379137539">
      <w:bodyDiv w:val="1"/>
      <w:marLeft w:val="0"/>
      <w:marRight w:val="0"/>
      <w:marTop w:val="0"/>
      <w:marBottom w:val="0"/>
      <w:divBdr>
        <w:top w:val="none" w:sz="0" w:space="0" w:color="auto"/>
        <w:left w:val="none" w:sz="0" w:space="0" w:color="auto"/>
        <w:bottom w:val="none" w:sz="0" w:space="0" w:color="auto"/>
        <w:right w:val="none" w:sz="0" w:space="0" w:color="auto"/>
      </w:divBdr>
    </w:div>
    <w:div w:id="394939467">
      <w:bodyDiv w:val="1"/>
      <w:marLeft w:val="0"/>
      <w:marRight w:val="0"/>
      <w:marTop w:val="0"/>
      <w:marBottom w:val="0"/>
      <w:divBdr>
        <w:top w:val="none" w:sz="0" w:space="0" w:color="auto"/>
        <w:left w:val="none" w:sz="0" w:space="0" w:color="auto"/>
        <w:bottom w:val="none" w:sz="0" w:space="0" w:color="auto"/>
        <w:right w:val="none" w:sz="0" w:space="0" w:color="auto"/>
      </w:divBdr>
    </w:div>
    <w:div w:id="443964027">
      <w:bodyDiv w:val="1"/>
      <w:marLeft w:val="0"/>
      <w:marRight w:val="0"/>
      <w:marTop w:val="0"/>
      <w:marBottom w:val="0"/>
      <w:divBdr>
        <w:top w:val="none" w:sz="0" w:space="0" w:color="auto"/>
        <w:left w:val="none" w:sz="0" w:space="0" w:color="auto"/>
        <w:bottom w:val="none" w:sz="0" w:space="0" w:color="auto"/>
        <w:right w:val="none" w:sz="0" w:space="0" w:color="auto"/>
      </w:divBdr>
    </w:div>
    <w:div w:id="457457591">
      <w:bodyDiv w:val="1"/>
      <w:marLeft w:val="0"/>
      <w:marRight w:val="0"/>
      <w:marTop w:val="0"/>
      <w:marBottom w:val="0"/>
      <w:divBdr>
        <w:top w:val="none" w:sz="0" w:space="0" w:color="auto"/>
        <w:left w:val="none" w:sz="0" w:space="0" w:color="auto"/>
        <w:bottom w:val="none" w:sz="0" w:space="0" w:color="auto"/>
        <w:right w:val="none" w:sz="0" w:space="0" w:color="auto"/>
      </w:divBdr>
    </w:div>
    <w:div w:id="457996573">
      <w:bodyDiv w:val="1"/>
      <w:marLeft w:val="0"/>
      <w:marRight w:val="0"/>
      <w:marTop w:val="0"/>
      <w:marBottom w:val="0"/>
      <w:divBdr>
        <w:top w:val="none" w:sz="0" w:space="0" w:color="auto"/>
        <w:left w:val="none" w:sz="0" w:space="0" w:color="auto"/>
        <w:bottom w:val="none" w:sz="0" w:space="0" w:color="auto"/>
        <w:right w:val="none" w:sz="0" w:space="0" w:color="auto"/>
      </w:divBdr>
    </w:div>
    <w:div w:id="476846025">
      <w:bodyDiv w:val="1"/>
      <w:marLeft w:val="0"/>
      <w:marRight w:val="0"/>
      <w:marTop w:val="0"/>
      <w:marBottom w:val="0"/>
      <w:divBdr>
        <w:top w:val="none" w:sz="0" w:space="0" w:color="auto"/>
        <w:left w:val="none" w:sz="0" w:space="0" w:color="auto"/>
        <w:bottom w:val="none" w:sz="0" w:space="0" w:color="auto"/>
        <w:right w:val="none" w:sz="0" w:space="0" w:color="auto"/>
      </w:divBdr>
    </w:div>
    <w:div w:id="476923612">
      <w:bodyDiv w:val="1"/>
      <w:marLeft w:val="0"/>
      <w:marRight w:val="0"/>
      <w:marTop w:val="0"/>
      <w:marBottom w:val="0"/>
      <w:divBdr>
        <w:top w:val="none" w:sz="0" w:space="0" w:color="auto"/>
        <w:left w:val="none" w:sz="0" w:space="0" w:color="auto"/>
        <w:bottom w:val="none" w:sz="0" w:space="0" w:color="auto"/>
        <w:right w:val="none" w:sz="0" w:space="0" w:color="auto"/>
      </w:divBdr>
    </w:div>
    <w:div w:id="514196641">
      <w:bodyDiv w:val="1"/>
      <w:marLeft w:val="0"/>
      <w:marRight w:val="0"/>
      <w:marTop w:val="0"/>
      <w:marBottom w:val="0"/>
      <w:divBdr>
        <w:top w:val="none" w:sz="0" w:space="0" w:color="auto"/>
        <w:left w:val="none" w:sz="0" w:space="0" w:color="auto"/>
        <w:bottom w:val="none" w:sz="0" w:space="0" w:color="auto"/>
        <w:right w:val="none" w:sz="0" w:space="0" w:color="auto"/>
      </w:divBdr>
    </w:div>
    <w:div w:id="533467413">
      <w:bodyDiv w:val="1"/>
      <w:marLeft w:val="0"/>
      <w:marRight w:val="0"/>
      <w:marTop w:val="0"/>
      <w:marBottom w:val="0"/>
      <w:divBdr>
        <w:top w:val="none" w:sz="0" w:space="0" w:color="auto"/>
        <w:left w:val="none" w:sz="0" w:space="0" w:color="auto"/>
        <w:bottom w:val="none" w:sz="0" w:space="0" w:color="auto"/>
        <w:right w:val="none" w:sz="0" w:space="0" w:color="auto"/>
      </w:divBdr>
    </w:div>
    <w:div w:id="540633572">
      <w:bodyDiv w:val="1"/>
      <w:marLeft w:val="0"/>
      <w:marRight w:val="0"/>
      <w:marTop w:val="0"/>
      <w:marBottom w:val="0"/>
      <w:divBdr>
        <w:top w:val="none" w:sz="0" w:space="0" w:color="auto"/>
        <w:left w:val="none" w:sz="0" w:space="0" w:color="auto"/>
        <w:bottom w:val="none" w:sz="0" w:space="0" w:color="auto"/>
        <w:right w:val="none" w:sz="0" w:space="0" w:color="auto"/>
      </w:divBdr>
    </w:div>
    <w:div w:id="568002720">
      <w:bodyDiv w:val="1"/>
      <w:marLeft w:val="0"/>
      <w:marRight w:val="0"/>
      <w:marTop w:val="0"/>
      <w:marBottom w:val="0"/>
      <w:divBdr>
        <w:top w:val="none" w:sz="0" w:space="0" w:color="auto"/>
        <w:left w:val="none" w:sz="0" w:space="0" w:color="auto"/>
        <w:bottom w:val="none" w:sz="0" w:space="0" w:color="auto"/>
        <w:right w:val="none" w:sz="0" w:space="0" w:color="auto"/>
      </w:divBdr>
    </w:div>
    <w:div w:id="573510291">
      <w:bodyDiv w:val="1"/>
      <w:marLeft w:val="0"/>
      <w:marRight w:val="0"/>
      <w:marTop w:val="0"/>
      <w:marBottom w:val="0"/>
      <w:divBdr>
        <w:top w:val="none" w:sz="0" w:space="0" w:color="auto"/>
        <w:left w:val="none" w:sz="0" w:space="0" w:color="auto"/>
        <w:bottom w:val="none" w:sz="0" w:space="0" w:color="auto"/>
        <w:right w:val="none" w:sz="0" w:space="0" w:color="auto"/>
      </w:divBdr>
    </w:div>
    <w:div w:id="584342644">
      <w:bodyDiv w:val="1"/>
      <w:marLeft w:val="0"/>
      <w:marRight w:val="0"/>
      <w:marTop w:val="0"/>
      <w:marBottom w:val="0"/>
      <w:divBdr>
        <w:top w:val="none" w:sz="0" w:space="0" w:color="auto"/>
        <w:left w:val="none" w:sz="0" w:space="0" w:color="auto"/>
        <w:bottom w:val="none" w:sz="0" w:space="0" w:color="auto"/>
        <w:right w:val="none" w:sz="0" w:space="0" w:color="auto"/>
      </w:divBdr>
    </w:div>
    <w:div w:id="585958657">
      <w:bodyDiv w:val="1"/>
      <w:marLeft w:val="0"/>
      <w:marRight w:val="0"/>
      <w:marTop w:val="0"/>
      <w:marBottom w:val="0"/>
      <w:divBdr>
        <w:top w:val="none" w:sz="0" w:space="0" w:color="auto"/>
        <w:left w:val="none" w:sz="0" w:space="0" w:color="auto"/>
        <w:bottom w:val="none" w:sz="0" w:space="0" w:color="auto"/>
        <w:right w:val="none" w:sz="0" w:space="0" w:color="auto"/>
      </w:divBdr>
    </w:div>
    <w:div w:id="597518423">
      <w:bodyDiv w:val="1"/>
      <w:marLeft w:val="0"/>
      <w:marRight w:val="0"/>
      <w:marTop w:val="0"/>
      <w:marBottom w:val="0"/>
      <w:divBdr>
        <w:top w:val="none" w:sz="0" w:space="0" w:color="auto"/>
        <w:left w:val="none" w:sz="0" w:space="0" w:color="auto"/>
        <w:bottom w:val="none" w:sz="0" w:space="0" w:color="auto"/>
        <w:right w:val="none" w:sz="0" w:space="0" w:color="auto"/>
      </w:divBdr>
    </w:div>
    <w:div w:id="612905786">
      <w:bodyDiv w:val="1"/>
      <w:marLeft w:val="0"/>
      <w:marRight w:val="0"/>
      <w:marTop w:val="0"/>
      <w:marBottom w:val="0"/>
      <w:divBdr>
        <w:top w:val="none" w:sz="0" w:space="0" w:color="auto"/>
        <w:left w:val="none" w:sz="0" w:space="0" w:color="auto"/>
        <w:bottom w:val="none" w:sz="0" w:space="0" w:color="auto"/>
        <w:right w:val="none" w:sz="0" w:space="0" w:color="auto"/>
      </w:divBdr>
    </w:div>
    <w:div w:id="634143634">
      <w:bodyDiv w:val="1"/>
      <w:marLeft w:val="0"/>
      <w:marRight w:val="0"/>
      <w:marTop w:val="0"/>
      <w:marBottom w:val="0"/>
      <w:divBdr>
        <w:top w:val="none" w:sz="0" w:space="0" w:color="auto"/>
        <w:left w:val="none" w:sz="0" w:space="0" w:color="auto"/>
        <w:bottom w:val="none" w:sz="0" w:space="0" w:color="auto"/>
        <w:right w:val="none" w:sz="0" w:space="0" w:color="auto"/>
      </w:divBdr>
    </w:div>
    <w:div w:id="645669792">
      <w:bodyDiv w:val="1"/>
      <w:marLeft w:val="0"/>
      <w:marRight w:val="0"/>
      <w:marTop w:val="0"/>
      <w:marBottom w:val="0"/>
      <w:divBdr>
        <w:top w:val="none" w:sz="0" w:space="0" w:color="auto"/>
        <w:left w:val="none" w:sz="0" w:space="0" w:color="auto"/>
        <w:bottom w:val="none" w:sz="0" w:space="0" w:color="auto"/>
        <w:right w:val="none" w:sz="0" w:space="0" w:color="auto"/>
      </w:divBdr>
    </w:div>
    <w:div w:id="662053751">
      <w:bodyDiv w:val="1"/>
      <w:marLeft w:val="0"/>
      <w:marRight w:val="0"/>
      <w:marTop w:val="0"/>
      <w:marBottom w:val="0"/>
      <w:divBdr>
        <w:top w:val="none" w:sz="0" w:space="0" w:color="auto"/>
        <w:left w:val="none" w:sz="0" w:space="0" w:color="auto"/>
        <w:bottom w:val="none" w:sz="0" w:space="0" w:color="auto"/>
        <w:right w:val="none" w:sz="0" w:space="0" w:color="auto"/>
      </w:divBdr>
    </w:div>
    <w:div w:id="669217159">
      <w:bodyDiv w:val="1"/>
      <w:marLeft w:val="0"/>
      <w:marRight w:val="0"/>
      <w:marTop w:val="0"/>
      <w:marBottom w:val="0"/>
      <w:divBdr>
        <w:top w:val="none" w:sz="0" w:space="0" w:color="auto"/>
        <w:left w:val="none" w:sz="0" w:space="0" w:color="auto"/>
        <w:bottom w:val="none" w:sz="0" w:space="0" w:color="auto"/>
        <w:right w:val="none" w:sz="0" w:space="0" w:color="auto"/>
      </w:divBdr>
    </w:div>
    <w:div w:id="685593748">
      <w:bodyDiv w:val="1"/>
      <w:marLeft w:val="0"/>
      <w:marRight w:val="0"/>
      <w:marTop w:val="0"/>
      <w:marBottom w:val="0"/>
      <w:divBdr>
        <w:top w:val="none" w:sz="0" w:space="0" w:color="auto"/>
        <w:left w:val="none" w:sz="0" w:space="0" w:color="auto"/>
        <w:bottom w:val="none" w:sz="0" w:space="0" w:color="auto"/>
        <w:right w:val="none" w:sz="0" w:space="0" w:color="auto"/>
      </w:divBdr>
    </w:div>
    <w:div w:id="720862802">
      <w:bodyDiv w:val="1"/>
      <w:marLeft w:val="0"/>
      <w:marRight w:val="0"/>
      <w:marTop w:val="0"/>
      <w:marBottom w:val="0"/>
      <w:divBdr>
        <w:top w:val="none" w:sz="0" w:space="0" w:color="auto"/>
        <w:left w:val="none" w:sz="0" w:space="0" w:color="auto"/>
        <w:bottom w:val="none" w:sz="0" w:space="0" w:color="auto"/>
        <w:right w:val="none" w:sz="0" w:space="0" w:color="auto"/>
      </w:divBdr>
    </w:div>
    <w:div w:id="727461234">
      <w:bodyDiv w:val="1"/>
      <w:marLeft w:val="0"/>
      <w:marRight w:val="0"/>
      <w:marTop w:val="0"/>
      <w:marBottom w:val="0"/>
      <w:divBdr>
        <w:top w:val="none" w:sz="0" w:space="0" w:color="auto"/>
        <w:left w:val="none" w:sz="0" w:space="0" w:color="auto"/>
        <w:bottom w:val="none" w:sz="0" w:space="0" w:color="auto"/>
        <w:right w:val="none" w:sz="0" w:space="0" w:color="auto"/>
      </w:divBdr>
    </w:div>
    <w:div w:id="729306761">
      <w:bodyDiv w:val="1"/>
      <w:marLeft w:val="0"/>
      <w:marRight w:val="0"/>
      <w:marTop w:val="0"/>
      <w:marBottom w:val="0"/>
      <w:divBdr>
        <w:top w:val="none" w:sz="0" w:space="0" w:color="auto"/>
        <w:left w:val="none" w:sz="0" w:space="0" w:color="auto"/>
        <w:bottom w:val="none" w:sz="0" w:space="0" w:color="auto"/>
        <w:right w:val="none" w:sz="0" w:space="0" w:color="auto"/>
      </w:divBdr>
    </w:div>
    <w:div w:id="824395102">
      <w:bodyDiv w:val="1"/>
      <w:marLeft w:val="0"/>
      <w:marRight w:val="0"/>
      <w:marTop w:val="0"/>
      <w:marBottom w:val="0"/>
      <w:divBdr>
        <w:top w:val="none" w:sz="0" w:space="0" w:color="auto"/>
        <w:left w:val="none" w:sz="0" w:space="0" w:color="auto"/>
        <w:bottom w:val="none" w:sz="0" w:space="0" w:color="auto"/>
        <w:right w:val="none" w:sz="0" w:space="0" w:color="auto"/>
      </w:divBdr>
    </w:div>
    <w:div w:id="861166258">
      <w:bodyDiv w:val="1"/>
      <w:marLeft w:val="0"/>
      <w:marRight w:val="0"/>
      <w:marTop w:val="0"/>
      <w:marBottom w:val="0"/>
      <w:divBdr>
        <w:top w:val="none" w:sz="0" w:space="0" w:color="auto"/>
        <w:left w:val="none" w:sz="0" w:space="0" w:color="auto"/>
        <w:bottom w:val="none" w:sz="0" w:space="0" w:color="auto"/>
        <w:right w:val="none" w:sz="0" w:space="0" w:color="auto"/>
      </w:divBdr>
    </w:div>
    <w:div w:id="869953775">
      <w:bodyDiv w:val="1"/>
      <w:marLeft w:val="0"/>
      <w:marRight w:val="0"/>
      <w:marTop w:val="0"/>
      <w:marBottom w:val="0"/>
      <w:divBdr>
        <w:top w:val="none" w:sz="0" w:space="0" w:color="auto"/>
        <w:left w:val="none" w:sz="0" w:space="0" w:color="auto"/>
        <w:bottom w:val="none" w:sz="0" w:space="0" w:color="auto"/>
        <w:right w:val="none" w:sz="0" w:space="0" w:color="auto"/>
      </w:divBdr>
    </w:div>
    <w:div w:id="877477002">
      <w:bodyDiv w:val="1"/>
      <w:marLeft w:val="0"/>
      <w:marRight w:val="0"/>
      <w:marTop w:val="0"/>
      <w:marBottom w:val="0"/>
      <w:divBdr>
        <w:top w:val="none" w:sz="0" w:space="0" w:color="auto"/>
        <w:left w:val="none" w:sz="0" w:space="0" w:color="auto"/>
        <w:bottom w:val="none" w:sz="0" w:space="0" w:color="auto"/>
        <w:right w:val="none" w:sz="0" w:space="0" w:color="auto"/>
      </w:divBdr>
    </w:div>
    <w:div w:id="913398252">
      <w:bodyDiv w:val="1"/>
      <w:marLeft w:val="0"/>
      <w:marRight w:val="0"/>
      <w:marTop w:val="0"/>
      <w:marBottom w:val="0"/>
      <w:divBdr>
        <w:top w:val="none" w:sz="0" w:space="0" w:color="auto"/>
        <w:left w:val="none" w:sz="0" w:space="0" w:color="auto"/>
        <w:bottom w:val="none" w:sz="0" w:space="0" w:color="auto"/>
        <w:right w:val="none" w:sz="0" w:space="0" w:color="auto"/>
      </w:divBdr>
    </w:div>
    <w:div w:id="917062000">
      <w:bodyDiv w:val="1"/>
      <w:marLeft w:val="0"/>
      <w:marRight w:val="0"/>
      <w:marTop w:val="0"/>
      <w:marBottom w:val="0"/>
      <w:divBdr>
        <w:top w:val="none" w:sz="0" w:space="0" w:color="auto"/>
        <w:left w:val="none" w:sz="0" w:space="0" w:color="auto"/>
        <w:bottom w:val="none" w:sz="0" w:space="0" w:color="auto"/>
        <w:right w:val="none" w:sz="0" w:space="0" w:color="auto"/>
      </w:divBdr>
    </w:div>
    <w:div w:id="917328362">
      <w:bodyDiv w:val="1"/>
      <w:marLeft w:val="0"/>
      <w:marRight w:val="0"/>
      <w:marTop w:val="0"/>
      <w:marBottom w:val="0"/>
      <w:divBdr>
        <w:top w:val="none" w:sz="0" w:space="0" w:color="auto"/>
        <w:left w:val="none" w:sz="0" w:space="0" w:color="auto"/>
        <w:bottom w:val="none" w:sz="0" w:space="0" w:color="auto"/>
        <w:right w:val="none" w:sz="0" w:space="0" w:color="auto"/>
      </w:divBdr>
    </w:div>
    <w:div w:id="1002005923">
      <w:bodyDiv w:val="1"/>
      <w:marLeft w:val="0"/>
      <w:marRight w:val="0"/>
      <w:marTop w:val="0"/>
      <w:marBottom w:val="0"/>
      <w:divBdr>
        <w:top w:val="none" w:sz="0" w:space="0" w:color="auto"/>
        <w:left w:val="none" w:sz="0" w:space="0" w:color="auto"/>
        <w:bottom w:val="none" w:sz="0" w:space="0" w:color="auto"/>
        <w:right w:val="none" w:sz="0" w:space="0" w:color="auto"/>
      </w:divBdr>
    </w:div>
    <w:div w:id="1002047572">
      <w:bodyDiv w:val="1"/>
      <w:marLeft w:val="0"/>
      <w:marRight w:val="0"/>
      <w:marTop w:val="0"/>
      <w:marBottom w:val="0"/>
      <w:divBdr>
        <w:top w:val="none" w:sz="0" w:space="0" w:color="auto"/>
        <w:left w:val="none" w:sz="0" w:space="0" w:color="auto"/>
        <w:bottom w:val="none" w:sz="0" w:space="0" w:color="auto"/>
        <w:right w:val="none" w:sz="0" w:space="0" w:color="auto"/>
      </w:divBdr>
    </w:div>
    <w:div w:id="1019549610">
      <w:bodyDiv w:val="1"/>
      <w:marLeft w:val="0"/>
      <w:marRight w:val="0"/>
      <w:marTop w:val="0"/>
      <w:marBottom w:val="0"/>
      <w:divBdr>
        <w:top w:val="none" w:sz="0" w:space="0" w:color="auto"/>
        <w:left w:val="none" w:sz="0" w:space="0" w:color="auto"/>
        <w:bottom w:val="none" w:sz="0" w:space="0" w:color="auto"/>
        <w:right w:val="none" w:sz="0" w:space="0" w:color="auto"/>
      </w:divBdr>
    </w:div>
    <w:div w:id="1038505897">
      <w:bodyDiv w:val="1"/>
      <w:marLeft w:val="0"/>
      <w:marRight w:val="0"/>
      <w:marTop w:val="0"/>
      <w:marBottom w:val="0"/>
      <w:divBdr>
        <w:top w:val="none" w:sz="0" w:space="0" w:color="auto"/>
        <w:left w:val="none" w:sz="0" w:space="0" w:color="auto"/>
        <w:bottom w:val="none" w:sz="0" w:space="0" w:color="auto"/>
        <w:right w:val="none" w:sz="0" w:space="0" w:color="auto"/>
      </w:divBdr>
    </w:div>
    <w:div w:id="1046879705">
      <w:bodyDiv w:val="1"/>
      <w:marLeft w:val="0"/>
      <w:marRight w:val="0"/>
      <w:marTop w:val="0"/>
      <w:marBottom w:val="0"/>
      <w:divBdr>
        <w:top w:val="none" w:sz="0" w:space="0" w:color="auto"/>
        <w:left w:val="none" w:sz="0" w:space="0" w:color="auto"/>
        <w:bottom w:val="none" w:sz="0" w:space="0" w:color="auto"/>
        <w:right w:val="none" w:sz="0" w:space="0" w:color="auto"/>
      </w:divBdr>
    </w:div>
    <w:div w:id="1089082603">
      <w:bodyDiv w:val="1"/>
      <w:marLeft w:val="0"/>
      <w:marRight w:val="0"/>
      <w:marTop w:val="0"/>
      <w:marBottom w:val="0"/>
      <w:divBdr>
        <w:top w:val="none" w:sz="0" w:space="0" w:color="auto"/>
        <w:left w:val="none" w:sz="0" w:space="0" w:color="auto"/>
        <w:bottom w:val="none" w:sz="0" w:space="0" w:color="auto"/>
        <w:right w:val="none" w:sz="0" w:space="0" w:color="auto"/>
      </w:divBdr>
    </w:div>
    <w:div w:id="1089623633">
      <w:bodyDiv w:val="1"/>
      <w:marLeft w:val="0"/>
      <w:marRight w:val="0"/>
      <w:marTop w:val="0"/>
      <w:marBottom w:val="0"/>
      <w:divBdr>
        <w:top w:val="none" w:sz="0" w:space="0" w:color="auto"/>
        <w:left w:val="none" w:sz="0" w:space="0" w:color="auto"/>
        <w:bottom w:val="none" w:sz="0" w:space="0" w:color="auto"/>
        <w:right w:val="none" w:sz="0" w:space="0" w:color="auto"/>
      </w:divBdr>
    </w:div>
    <w:div w:id="1113984580">
      <w:bodyDiv w:val="1"/>
      <w:marLeft w:val="0"/>
      <w:marRight w:val="0"/>
      <w:marTop w:val="0"/>
      <w:marBottom w:val="0"/>
      <w:divBdr>
        <w:top w:val="none" w:sz="0" w:space="0" w:color="auto"/>
        <w:left w:val="none" w:sz="0" w:space="0" w:color="auto"/>
        <w:bottom w:val="none" w:sz="0" w:space="0" w:color="auto"/>
        <w:right w:val="none" w:sz="0" w:space="0" w:color="auto"/>
      </w:divBdr>
    </w:div>
    <w:div w:id="1117989133">
      <w:bodyDiv w:val="1"/>
      <w:marLeft w:val="0"/>
      <w:marRight w:val="0"/>
      <w:marTop w:val="0"/>
      <w:marBottom w:val="0"/>
      <w:divBdr>
        <w:top w:val="none" w:sz="0" w:space="0" w:color="auto"/>
        <w:left w:val="none" w:sz="0" w:space="0" w:color="auto"/>
        <w:bottom w:val="none" w:sz="0" w:space="0" w:color="auto"/>
        <w:right w:val="none" w:sz="0" w:space="0" w:color="auto"/>
      </w:divBdr>
    </w:div>
    <w:div w:id="1127746864">
      <w:bodyDiv w:val="1"/>
      <w:marLeft w:val="0"/>
      <w:marRight w:val="0"/>
      <w:marTop w:val="0"/>
      <w:marBottom w:val="0"/>
      <w:divBdr>
        <w:top w:val="none" w:sz="0" w:space="0" w:color="auto"/>
        <w:left w:val="none" w:sz="0" w:space="0" w:color="auto"/>
        <w:bottom w:val="none" w:sz="0" w:space="0" w:color="auto"/>
        <w:right w:val="none" w:sz="0" w:space="0" w:color="auto"/>
      </w:divBdr>
    </w:div>
    <w:div w:id="1155956185">
      <w:bodyDiv w:val="1"/>
      <w:marLeft w:val="0"/>
      <w:marRight w:val="0"/>
      <w:marTop w:val="0"/>
      <w:marBottom w:val="0"/>
      <w:divBdr>
        <w:top w:val="none" w:sz="0" w:space="0" w:color="auto"/>
        <w:left w:val="none" w:sz="0" w:space="0" w:color="auto"/>
        <w:bottom w:val="none" w:sz="0" w:space="0" w:color="auto"/>
        <w:right w:val="none" w:sz="0" w:space="0" w:color="auto"/>
      </w:divBdr>
    </w:div>
    <w:div w:id="1178614348">
      <w:bodyDiv w:val="1"/>
      <w:marLeft w:val="0"/>
      <w:marRight w:val="0"/>
      <w:marTop w:val="0"/>
      <w:marBottom w:val="0"/>
      <w:divBdr>
        <w:top w:val="none" w:sz="0" w:space="0" w:color="auto"/>
        <w:left w:val="none" w:sz="0" w:space="0" w:color="auto"/>
        <w:bottom w:val="none" w:sz="0" w:space="0" w:color="auto"/>
        <w:right w:val="none" w:sz="0" w:space="0" w:color="auto"/>
      </w:divBdr>
    </w:div>
    <w:div w:id="1208301607">
      <w:bodyDiv w:val="1"/>
      <w:marLeft w:val="0"/>
      <w:marRight w:val="0"/>
      <w:marTop w:val="0"/>
      <w:marBottom w:val="0"/>
      <w:divBdr>
        <w:top w:val="none" w:sz="0" w:space="0" w:color="auto"/>
        <w:left w:val="none" w:sz="0" w:space="0" w:color="auto"/>
        <w:bottom w:val="none" w:sz="0" w:space="0" w:color="auto"/>
        <w:right w:val="none" w:sz="0" w:space="0" w:color="auto"/>
      </w:divBdr>
    </w:div>
    <w:div w:id="1334991447">
      <w:bodyDiv w:val="1"/>
      <w:marLeft w:val="0"/>
      <w:marRight w:val="0"/>
      <w:marTop w:val="0"/>
      <w:marBottom w:val="0"/>
      <w:divBdr>
        <w:top w:val="none" w:sz="0" w:space="0" w:color="auto"/>
        <w:left w:val="none" w:sz="0" w:space="0" w:color="auto"/>
        <w:bottom w:val="none" w:sz="0" w:space="0" w:color="auto"/>
        <w:right w:val="none" w:sz="0" w:space="0" w:color="auto"/>
      </w:divBdr>
    </w:div>
    <w:div w:id="1344549447">
      <w:bodyDiv w:val="1"/>
      <w:marLeft w:val="0"/>
      <w:marRight w:val="0"/>
      <w:marTop w:val="0"/>
      <w:marBottom w:val="0"/>
      <w:divBdr>
        <w:top w:val="none" w:sz="0" w:space="0" w:color="auto"/>
        <w:left w:val="none" w:sz="0" w:space="0" w:color="auto"/>
        <w:bottom w:val="none" w:sz="0" w:space="0" w:color="auto"/>
        <w:right w:val="none" w:sz="0" w:space="0" w:color="auto"/>
      </w:divBdr>
    </w:div>
    <w:div w:id="1363818417">
      <w:bodyDiv w:val="1"/>
      <w:marLeft w:val="0"/>
      <w:marRight w:val="0"/>
      <w:marTop w:val="0"/>
      <w:marBottom w:val="0"/>
      <w:divBdr>
        <w:top w:val="none" w:sz="0" w:space="0" w:color="auto"/>
        <w:left w:val="none" w:sz="0" w:space="0" w:color="auto"/>
        <w:bottom w:val="none" w:sz="0" w:space="0" w:color="auto"/>
        <w:right w:val="none" w:sz="0" w:space="0" w:color="auto"/>
      </w:divBdr>
    </w:div>
    <w:div w:id="1407845138">
      <w:bodyDiv w:val="1"/>
      <w:marLeft w:val="0"/>
      <w:marRight w:val="0"/>
      <w:marTop w:val="0"/>
      <w:marBottom w:val="0"/>
      <w:divBdr>
        <w:top w:val="none" w:sz="0" w:space="0" w:color="auto"/>
        <w:left w:val="none" w:sz="0" w:space="0" w:color="auto"/>
        <w:bottom w:val="none" w:sz="0" w:space="0" w:color="auto"/>
        <w:right w:val="none" w:sz="0" w:space="0" w:color="auto"/>
      </w:divBdr>
    </w:div>
    <w:div w:id="1423721780">
      <w:bodyDiv w:val="1"/>
      <w:marLeft w:val="0"/>
      <w:marRight w:val="0"/>
      <w:marTop w:val="0"/>
      <w:marBottom w:val="0"/>
      <w:divBdr>
        <w:top w:val="none" w:sz="0" w:space="0" w:color="auto"/>
        <w:left w:val="none" w:sz="0" w:space="0" w:color="auto"/>
        <w:bottom w:val="none" w:sz="0" w:space="0" w:color="auto"/>
        <w:right w:val="none" w:sz="0" w:space="0" w:color="auto"/>
      </w:divBdr>
    </w:div>
    <w:div w:id="1425540325">
      <w:bodyDiv w:val="1"/>
      <w:marLeft w:val="0"/>
      <w:marRight w:val="0"/>
      <w:marTop w:val="0"/>
      <w:marBottom w:val="0"/>
      <w:divBdr>
        <w:top w:val="none" w:sz="0" w:space="0" w:color="auto"/>
        <w:left w:val="none" w:sz="0" w:space="0" w:color="auto"/>
        <w:bottom w:val="none" w:sz="0" w:space="0" w:color="auto"/>
        <w:right w:val="none" w:sz="0" w:space="0" w:color="auto"/>
      </w:divBdr>
    </w:div>
    <w:div w:id="1434282765">
      <w:bodyDiv w:val="1"/>
      <w:marLeft w:val="0"/>
      <w:marRight w:val="0"/>
      <w:marTop w:val="0"/>
      <w:marBottom w:val="0"/>
      <w:divBdr>
        <w:top w:val="none" w:sz="0" w:space="0" w:color="auto"/>
        <w:left w:val="none" w:sz="0" w:space="0" w:color="auto"/>
        <w:bottom w:val="none" w:sz="0" w:space="0" w:color="auto"/>
        <w:right w:val="none" w:sz="0" w:space="0" w:color="auto"/>
      </w:divBdr>
    </w:div>
    <w:div w:id="1444232326">
      <w:bodyDiv w:val="1"/>
      <w:marLeft w:val="0"/>
      <w:marRight w:val="0"/>
      <w:marTop w:val="0"/>
      <w:marBottom w:val="0"/>
      <w:divBdr>
        <w:top w:val="none" w:sz="0" w:space="0" w:color="auto"/>
        <w:left w:val="none" w:sz="0" w:space="0" w:color="auto"/>
        <w:bottom w:val="none" w:sz="0" w:space="0" w:color="auto"/>
        <w:right w:val="none" w:sz="0" w:space="0" w:color="auto"/>
      </w:divBdr>
    </w:div>
    <w:div w:id="1525634903">
      <w:bodyDiv w:val="1"/>
      <w:marLeft w:val="0"/>
      <w:marRight w:val="0"/>
      <w:marTop w:val="0"/>
      <w:marBottom w:val="0"/>
      <w:divBdr>
        <w:top w:val="none" w:sz="0" w:space="0" w:color="auto"/>
        <w:left w:val="none" w:sz="0" w:space="0" w:color="auto"/>
        <w:bottom w:val="none" w:sz="0" w:space="0" w:color="auto"/>
        <w:right w:val="none" w:sz="0" w:space="0" w:color="auto"/>
      </w:divBdr>
    </w:div>
    <w:div w:id="1535464662">
      <w:bodyDiv w:val="1"/>
      <w:marLeft w:val="0"/>
      <w:marRight w:val="0"/>
      <w:marTop w:val="0"/>
      <w:marBottom w:val="0"/>
      <w:divBdr>
        <w:top w:val="none" w:sz="0" w:space="0" w:color="auto"/>
        <w:left w:val="none" w:sz="0" w:space="0" w:color="auto"/>
        <w:bottom w:val="none" w:sz="0" w:space="0" w:color="auto"/>
        <w:right w:val="none" w:sz="0" w:space="0" w:color="auto"/>
      </w:divBdr>
    </w:div>
    <w:div w:id="1563952909">
      <w:bodyDiv w:val="1"/>
      <w:marLeft w:val="0"/>
      <w:marRight w:val="0"/>
      <w:marTop w:val="0"/>
      <w:marBottom w:val="0"/>
      <w:divBdr>
        <w:top w:val="none" w:sz="0" w:space="0" w:color="auto"/>
        <w:left w:val="none" w:sz="0" w:space="0" w:color="auto"/>
        <w:bottom w:val="none" w:sz="0" w:space="0" w:color="auto"/>
        <w:right w:val="none" w:sz="0" w:space="0" w:color="auto"/>
      </w:divBdr>
    </w:div>
    <w:div w:id="1572346760">
      <w:bodyDiv w:val="1"/>
      <w:marLeft w:val="0"/>
      <w:marRight w:val="0"/>
      <w:marTop w:val="0"/>
      <w:marBottom w:val="0"/>
      <w:divBdr>
        <w:top w:val="none" w:sz="0" w:space="0" w:color="auto"/>
        <w:left w:val="none" w:sz="0" w:space="0" w:color="auto"/>
        <w:bottom w:val="none" w:sz="0" w:space="0" w:color="auto"/>
        <w:right w:val="none" w:sz="0" w:space="0" w:color="auto"/>
      </w:divBdr>
    </w:div>
    <w:div w:id="1601256856">
      <w:bodyDiv w:val="1"/>
      <w:marLeft w:val="0"/>
      <w:marRight w:val="0"/>
      <w:marTop w:val="0"/>
      <w:marBottom w:val="0"/>
      <w:divBdr>
        <w:top w:val="none" w:sz="0" w:space="0" w:color="auto"/>
        <w:left w:val="none" w:sz="0" w:space="0" w:color="auto"/>
        <w:bottom w:val="none" w:sz="0" w:space="0" w:color="auto"/>
        <w:right w:val="none" w:sz="0" w:space="0" w:color="auto"/>
      </w:divBdr>
    </w:div>
    <w:div w:id="1630043355">
      <w:bodyDiv w:val="1"/>
      <w:marLeft w:val="0"/>
      <w:marRight w:val="0"/>
      <w:marTop w:val="0"/>
      <w:marBottom w:val="0"/>
      <w:divBdr>
        <w:top w:val="none" w:sz="0" w:space="0" w:color="auto"/>
        <w:left w:val="none" w:sz="0" w:space="0" w:color="auto"/>
        <w:bottom w:val="none" w:sz="0" w:space="0" w:color="auto"/>
        <w:right w:val="none" w:sz="0" w:space="0" w:color="auto"/>
      </w:divBdr>
    </w:div>
    <w:div w:id="1639451521">
      <w:bodyDiv w:val="1"/>
      <w:marLeft w:val="0"/>
      <w:marRight w:val="0"/>
      <w:marTop w:val="0"/>
      <w:marBottom w:val="0"/>
      <w:divBdr>
        <w:top w:val="none" w:sz="0" w:space="0" w:color="auto"/>
        <w:left w:val="none" w:sz="0" w:space="0" w:color="auto"/>
        <w:bottom w:val="none" w:sz="0" w:space="0" w:color="auto"/>
        <w:right w:val="none" w:sz="0" w:space="0" w:color="auto"/>
      </w:divBdr>
    </w:div>
    <w:div w:id="1640528018">
      <w:bodyDiv w:val="1"/>
      <w:marLeft w:val="0"/>
      <w:marRight w:val="0"/>
      <w:marTop w:val="0"/>
      <w:marBottom w:val="0"/>
      <w:divBdr>
        <w:top w:val="none" w:sz="0" w:space="0" w:color="auto"/>
        <w:left w:val="none" w:sz="0" w:space="0" w:color="auto"/>
        <w:bottom w:val="none" w:sz="0" w:space="0" w:color="auto"/>
        <w:right w:val="none" w:sz="0" w:space="0" w:color="auto"/>
      </w:divBdr>
    </w:div>
    <w:div w:id="1649943006">
      <w:bodyDiv w:val="1"/>
      <w:marLeft w:val="0"/>
      <w:marRight w:val="0"/>
      <w:marTop w:val="0"/>
      <w:marBottom w:val="0"/>
      <w:divBdr>
        <w:top w:val="none" w:sz="0" w:space="0" w:color="auto"/>
        <w:left w:val="none" w:sz="0" w:space="0" w:color="auto"/>
        <w:bottom w:val="none" w:sz="0" w:space="0" w:color="auto"/>
        <w:right w:val="none" w:sz="0" w:space="0" w:color="auto"/>
      </w:divBdr>
    </w:div>
    <w:div w:id="1697585737">
      <w:bodyDiv w:val="1"/>
      <w:marLeft w:val="0"/>
      <w:marRight w:val="0"/>
      <w:marTop w:val="0"/>
      <w:marBottom w:val="0"/>
      <w:divBdr>
        <w:top w:val="none" w:sz="0" w:space="0" w:color="auto"/>
        <w:left w:val="none" w:sz="0" w:space="0" w:color="auto"/>
        <w:bottom w:val="none" w:sz="0" w:space="0" w:color="auto"/>
        <w:right w:val="none" w:sz="0" w:space="0" w:color="auto"/>
      </w:divBdr>
    </w:div>
    <w:div w:id="1700203204">
      <w:bodyDiv w:val="1"/>
      <w:marLeft w:val="0"/>
      <w:marRight w:val="0"/>
      <w:marTop w:val="0"/>
      <w:marBottom w:val="0"/>
      <w:divBdr>
        <w:top w:val="none" w:sz="0" w:space="0" w:color="auto"/>
        <w:left w:val="none" w:sz="0" w:space="0" w:color="auto"/>
        <w:bottom w:val="none" w:sz="0" w:space="0" w:color="auto"/>
        <w:right w:val="none" w:sz="0" w:space="0" w:color="auto"/>
      </w:divBdr>
    </w:div>
    <w:div w:id="1746994433">
      <w:bodyDiv w:val="1"/>
      <w:marLeft w:val="0"/>
      <w:marRight w:val="0"/>
      <w:marTop w:val="0"/>
      <w:marBottom w:val="0"/>
      <w:divBdr>
        <w:top w:val="none" w:sz="0" w:space="0" w:color="auto"/>
        <w:left w:val="none" w:sz="0" w:space="0" w:color="auto"/>
        <w:bottom w:val="none" w:sz="0" w:space="0" w:color="auto"/>
        <w:right w:val="none" w:sz="0" w:space="0" w:color="auto"/>
      </w:divBdr>
    </w:div>
    <w:div w:id="1787501678">
      <w:bodyDiv w:val="1"/>
      <w:marLeft w:val="0"/>
      <w:marRight w:val="0"/>
      <w:marTop w:val="0"/>
      <w:marBottom w:val="0"/>
      <w:divBdr>
        <w:top w:val="none" w:sz="0" w:space="0" w:color="auto"/>
        <w:left w:val="none" w:sz="0" w:space="0" w:color="auto"/>
        <w:bottom w:val="none" w:sz="0" w:space="0" w:color="auto"/>
        <w:right w:val="none" w:sz="0" w:space="0" w:color="auto"/>
      </w:divBdr>
    </w:div>
    <w:div w:id="1799177274">
      <w:bodyDiv w:val="1"/>
      <w:marLeft w:val="0"/>
      <w:marRight w:val="0"/>
      <w:marTop w:val="0"/>
      <w:marBottom w:val="0"/>
      <w:divBdr>
        <w:top w:val="none" w:sz="0" w:space="0" w:color="auto"/>
        <w:left w:val="none" w:sz="0" w:space="0" w:color="auto"/>
        <w:bottom w:val="none" w:sz="0" w:space="0" w:color="auto"/>
        <w:right w:val="none" w:sz="0" w:space="0" w:color="auto"/>
      </w:divBdr>
    </w:div>
    <w:div w:id="1816407585">
      <w:bodyDiv w:val="1"/>
      <w:marLeft w:val="0"/>
      <w:marRight w:val="0"/>
      <w:marTop w:val="0"/>
      <w:marBottom w:val="0"/>
      <w:divBdr>
        <w:top w:val="none" w:sz="0" w:space="0" w:color="auto"/>
        <w:left w:val="none" w:sz="0" w:space="0" w:color="auto"/>
        <w:bottom w:val="none" w:sz="0" w:space="0" w:color="auto"/>
        <w:right w:val="none" w:sz="0" w:space="0" w:color="auto"/>
      </w:divBdr>
    </w:div>
    <w:div w:id="1817213222">
      <w:bodyDiv w:val="1"/>
      <w:marLeft w:val="0"/>
      <w:marRight w:val="0"/>
      <w:marTop w:val="0"/>
      <w:marBottom w:val="0"/>
      <w:divBdr>
        <w:top w:val="none" w:sz="0" w:space="0" w:color="auto"/>
        <w:left w:val="none" w:sz="0" w:space="0" w:color="auto"/>
        <w:bottom w:val="none" w:sz="0" w:space="0" w:color="auto"/>
        <w:right w:val="none" w:sz="0" w:space="0" w:color="auto"/>
      </w:divBdr>
    </w:div>
    <w:div w:id="1820460344">
      <w:bodyDiv w:val="1"/>
      <w:marLeft w:val="0"/>
      <w:marRight w:val="0"/>
      <w:marTop w:val="0"/>
      <w:marBottom w:val="0"/>
      <w:divBdr>
        <w:top w:val="none" w:sz="0" w:space="0" w:color="auto"/>
        <w:left w:val="none" w:sz="0" w:space="0" w:color="auto"/>
        <w:bottom w:val="none" w:sz="0" w:space="0" w:color="auto"/>
        <w:right w:val="none" w:sz="0" w:space="0" w:color="auto"/>
      </w:divBdr>
    </w:div>
    <w:div w:id="1831870579">
      <w:bodyDiv w:val="1"/>
      <w:marLeft w:val="0"/>
      <w:marRight w:val="0"/>
      <w:marTop w:val="0"/>
      <w:marBottom w:val="0"/>
      <w:divBdr>
        <w:top w:val="none" w:sz="0" w:space="0" w:color="auto"/>
        <w:left w:val="none" w:sz="0" w:space="0" w:color="auto"/>
        <w:bottom w:val="none" w:sz="0" w:space="0" w:color="auto"/>
        <w:right w:val="none" w:sz="0" w:space="0" w:color="auto"/>
      </w:divBdr>
    </w:div>
    <w:div w:id="1877964238">
      <w:bodyDiv w:val="1"/>
      <w:marLeft w:val="0"/>
      <w:marRight w:val="0"/>
      <w:marTop w:val="0"/>
      <w:marBottom w:val="0"/>
      <w:divBdr>
        <w:top w:val="none" w:sz="0" w:space="0" w:color="auto"/>
        <w:left w:val="none" w:sz="0" w:space="0" w:color="auto"/>
        <w:bottom w:val="none" w:sz="0" w:space="0" w:color="auto"/>
        <w:right w:val="none" w:sz="0" w:space="0" w:color="auto"/>
      </w:divBdr>
    </w:div>
    <w:div w:id="1880513785">
      <w:bodyDiv w:val="1"/>
      <w:marLeft w:val="0"/>
      <w:marRight w:val="0"/>
      <w:marTop w:val="0"/>
      <w:marBottom w:val="0"/>
      <w:divBdr>
        <w:top w:val="none" w:sz="0" w:space="0" w:color="auto"/>
        <w:left w:val="none" w:sz="0" w:space="0" w:color="auto"/>
        <w:bottom w:val="none" w:sz="0" w:space="0" w:color="auto"/>
        <w:right w:val="none" w:sz="0" w:space="0" w:color="auto"/>
      </w:divBdr>
    </w:div>
    <w:div w:id="1896546990">
      <w:bodyDiv w:val="1"/>
      <w:marLeft w:val="0"/>
      <w:marRight w:val="0"/>
      <w:marTop w:val="0"/>
      <w:marBottom w:val="0"/>
      <w:divBdr>
        <w:top w:val="none" w:sz="0" w:space="0" w:color="auto"/>
        <w:left w:val="none" w:sz="0" w:space="0" w:color="auto"/>
        <w:bottom w:val="none" w:sz="0" w:space="0" w:color="auto"/>
        <w:right w:val="none" w:sz="0" w:space="0" w:color="auto"/>
      </w:divBdr>
    </w:div>
    <w:div w:id="1901473564">
      <w:bodyDiv w:val="1"/>
      <w:marLeft w:val="0"/>
      <w:marRight w:val="0"/>
      <w:marTop w:val="0"/>
      <w:marBottom w:val="0"/>
      <w:divBdr>
        <w:top w:val="none" w:sz="0" w:space="0" w:color="auto"/>
        <w:left w:val="none" w:sz="0" w:space="0" w:color="auto"/>
        <w:bottom w:val="none" w:sz="0" w:space="0" w:color="auto"/>
        <w:right w:val="none" w:sz="0" w:space="0" w:color="auto"/>
      </w:divBdr>
    </w:div>
    <w:div w:id="1912697396">
      <w:bodyDiv w:val="1"/>
      <w:marLeft w:val="0"/>
      <w:marRight w:val="0"/>
      <w:marTop w:val="0"/>
      <w:marBottom w:val="0"/>
      <w:divBdr>
        <w:top w:val="none" w:sz="0" w:space="0" w:color="auto"/>
        <w:left w:val="none" w:sz="0" w:space="0" w:color="auto"/>
        <w:bottom w:val="none" w:sz="0" w:space="0" w:color="auto"/>
        <w:right w:val="none" w:sz="0" w:space="0" w:color="auto"/>
      </w:divBdr>
    </w:div>
    <w:div w:id="1920014721">
      <w:bodyDiv w:val="1"/>
      <w:marLeft w:val="0"/>
      <w:marRight w:val="0"/>
      <w:marTop w:val="0"/>
      <w:marBottom w:val="0"/>
      <w:divBdr>
        <w:top w:val="none" w:sz="0" w:space="0" w:color="auto"/>
        <w:left w:val="none" w:sz="0" w:space="0" w:color="auto"/>
        <w:bottom w:val="none" w:sz="0" w:space="0" w:color="auto"/>
        <w:right w:val="none" w:sz="0" w:space="0" w:color="auto"/>
      </w:divBdr>
    </w:div>
    <w:div w:id="1920091594">
      <w:bodyDiv w:val="1"/>
      <w:marLeft w:val="0"/>
      <w:marRight w:val="0"/>
      <w:marTop w:val="0"/>
      <w:marBottom w:val="0"/>
      <w:divBdr>
        <w:top w:val="none" w:sz="0" w:space="0" w:color="auto"/>
        <w:left w:val="none" w:sz="0" w:space="0" w:color="auto"/>
        <w:bottom w:val="none" w:sz="0" w:space="0" w:color="auto"/>
        <w:right w:val="none" w:sz="0" w:space="0" w:color="auto"/>
      </w:divBdr>
    </w:div>
    <w:div w:id="1957440460">
      <w:bodyDiv w:val="1"/>
      <w:marLeft w:val="0"/>
      <w:marRight w:val="0"/>
      <w:marTop w:val="0"/>
      <w:marBottom w:val="0"/>
      <w:divBdr>
        <w:top w:val="none" w:sz="0" w:space="0" w:color="auto"/>
        <w:left w:val="none" w:sz="0" w:space="0" w:color="auto"/>
        <w:bottom w:val="none" w:sz="0" w:space="0" w:color="auto"/>
        <w:right w:val="none" w:sz="0" w:space="0" w:color="auto"/>
      </w:divBdr>
    </w:div>
    <w:div w:id="1978996220">
      <w:bodyDiv w:val="1"/>
      <w:marLeft w:val="0"/>
      <w:marRight w:val="0"/>
      <w:marTop w:val="0"/>
      <w:marBottom w:val="0"/>
      <w:divBdr>
        <w:top w:val="none" w:sz="0" w:space="0" w:color="auto"/>
        <w:left w:val="none" w:sz="0" w:space="0" w:color="auto"/>
        <w:bottom w:val="none" w:sz="0" w:space="0" w:color="auto"/>
        <w:right w:val="none" w:sz="0" w:space="0" w:color="auto"/>
      </w:divBdr>
    </w:div>
    <w:div w:id="2005621457">
      <w:bodyDiv w:val="1"/>
      <w:marLeft w:val="0"/>
      <w:marRight w:val="0"/>
      <w:marTop w:val="0"/>
      <w:marBottom w:val="0"/>
      <w:divBdr>
        <w:top w:val="none" w:sz="0" w:space="0" w:color="auto"/>
        <w:left w:val="none" w:sz="0" w:space="0" w:color="auto"/>
        <w:bottom w:val="none" w:sz="0" w:space="0" w:color="auto"/>
        <w:right w:val="none" w:sz="0" w:space="0" w:color="auto"/>
      </w:divBdr>
    </w:div>
    <w:div w:id="2078548412">
      <w:bodyDiv w:val="1"/>
      <w:marLeft w:val="0"/>
      <w:marRight w:val="0"/>
      <w:marTop w:val="0"/>
      <w:marBottom w:val="0"/>
      <w:divBdr>
        <w:top w:val="none" w:sz="0" w:space="0" w:color="auto"/>
        <w:left w:val="none" w:sz="0" w:space="0" w:color="auto"/>
        <w:bottom w:val="none" w:sz="0" w:space="0" w:color="auto"/>
        <w:right w:val="none" w:sz="0" w:space="0" w:color="auto"/>
      </w:divBdr>
    </w:div>
    <w:div w:id="2129272512">
      <w:bodyDiv w:val="1"/>
      <w:marLeft w:val="0"/>
      <w:marRight w:val="0"/>
      <w:marTop w:val="0"/>
      <w:marBottom w:val="0"/>
      <w:divBdr>
        <w:top w:val="none" w:sz="0" w:space="0" w:color="auto"/>
        <w:left w:val="none" w:sz="0" w:space="0" w:color="auto"/>
        <w:bottom w:val="none" w:sz="0" w:space="0" w:color="auto"/>
        <w:right w:val="none" w:sz="0" w:space="0" w:color="auto"/>
      </w:divBdr>
    </w:div>
    <w:div w:id="21349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documentlink/?pdmfid=1505209&amp;crid=fc0ee71e-476f-4a6d-aa27-c4416a0f567c&amp;pddocfullpath=%2Fshared%2Fdocument%2Fcases-ca%2Furn%3AcontentItem%3A5V08-FGG1-FG12-61BC-00000-00&amp;pdcontentcomponentid=281025&amp;pddoctitle=2018+FC+1203&amp;pdissubstitutewarning=true&amp;pdproductcontenttypeid=urn%3Apct%3A221&amp;pdiskwicview=false&amp;ecomp=wgg8k&amp;prid=72b87342-7e1f-4296-96f1-3adf13f350a4" TargetMode="External"/><Relationship Id="rId3" Type="http://schemas.openxmlformats.org/officeDocument/2006/relationships/settings" Target="settings.xml"/><Relationship Id="rId7" Type="http://schemas.openxmlformats.org/officeDocument/2006/relationships/hyperlink" Target="https://advance.lexis.com/document/documentlink/?pdmfid=1505209&amp;crid=fc0ee71e-476f-4a6d-aa27-c4416a0f567c&amp;pddocfullpath=%2Fshared%2Fdocument%2Fcases-ca%2Furn%3AcontentItem%3A5V08-FGG1-FG12-61BC-00000-00&amp;pdcontentcomponentid=281025&amp;pddoctitle=2018+FC+1203&amp;pdissubstitutewarning=true&amp;pdproductcontenttypeid=urn%3Apct%3A221&amp;pdiskwicview=false&amp;ecomp=wgg8k&amp;prid=72b87342-7e1f-4296-96f1-3adf13f350a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8212</Words>
  <Characters>46815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Leah Cummings</cp:lastModifiedBy>
  <cp:revision>2</cp:revision>
  <dcterms:created xsi:type="dcterms:W3CDTF">2022-10-31T14:34:00Z</dcterms:created>
  <dcterms:modified xsi:type="dcterms:W3CDTF">2022-10-31T14:34:00Z</dcterms:modified>
</cp:coreProperties>
</file>