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8C29" w14:textId="2575DF88" w:rsidR="00172A86" w:rsidRPr="00A627C4" w:rsidRDefault="00C32E90">
      <w:pPr>
        <w:spacing w:before="240" w:after="240"/>
        <w:jc w:val="right"/>
        <w:rPr>
          <w:rFonts w:eastAsia="Times New Roman"/>
          <w:b/>
          <w:spacing w:val="-5"/>
        </w:rPr>
      </w:pPr>
      <w:r w:rsidRPr="00A627C4">
        <w:rPr>
          <w:rFonts w:eastAsia="Times New Roman"/>
          <w:b/>
          <w:spacing w:val="-5"/>
        </w:rPr>
        <w:t xml:space="preserve">Équipe </w:t>
      </w:r>
      <w:r w:rsidR="005537AA" w:rsidRPr="00A627C4">
        <w:rPr>
          <w:rFonts w:eastAsia="Times New Roman"/>
          <w:b/>
          <w:spacing w:val="-5"/>
        </w:rPr>
        <w:t>230</w:t>
      </w:r>
      <w:r w:rsidR="00DF14DC" w:rsidRPr="00A627C4">
        <w:rPr>
          <w:rFonts w:eastAsia="Times New Roman"/>
          <w:b/>
          <w:spacing w:val="-5"/>
        </w:rPr>
        <w:t>-I</w:t>
      </w:r>
    </w:p>
    <w:p w14:paraId="58488C2A" w14:textId="77777777" w:rsidR="00172A86" w:rsidRPr="00A627C4" w:rsidRDefault="00172A86">
      <w:pPr>
        <w:spacing w:before="240" w:after="240"/>
        <w:jc w:val="right"/>
        <w:rPr>
          <w:rFonts w:eastAsia="Times New Roman"/>
          <w:b/>
          <w:color w:val="FF0000"/>
          <w:spacing w:val="-5"/>
        </w:rPr>
      </w:pPr>
    </w:p>
    <w:p w14:paraId="58488C2B" w14:textId="03001868" w:rsidR="00172A86" w:rsidRPr="00A627C4" w:rsidRDefault="00C32E90">
      <w:pPr>
        <w:spacing w:before="240" w:after="240"/>
        <w:jc w:val="center"/>
        <w:rPr>
          <w:rFonts w:eastAsia="Times New Roman"/>
          <w:b/>
          <w:spacing w:val="-5"/>
        </w:rPr>
      </w:pPr>
      <w:r w:rsidRPr="00A627C4">
        <w:rPr>
          <w:rFonts w:eastAsia="Times New Roman"/>
          <w:b/>
          <w:spacing w:val="-5"/>
        </w:rPr>
        <w:t>COUR DE LA COURONNE DU CANADA</w:t>
      </w:r>
    </w:p>
    <w:p w14:paraId="58488C2C" w14:textId="77777777" w:rsidR="00172A86" w:rsidRPr="00A627C4" w:rsidRDefault="00C32E90">
      <w:pPr>
        <w:spacing w:before="240" w:after="240"/>
        <w:jc w:val="center"/>
        <w:rPr>
          <w:rFonts w:eastAsia="Times New Roman"/>
          <w:b/>
          <w:spacing w:val="-5"/>
        </w:rPr>
      </w:pPr>
      <w:r w:rsidRPr="00A627C4">
        <w:rPr>
          <w:rFonts w:eastAsia="Times New Roman"/>
          <w:b/>
          <w:spacing w:val="-5"/>
        </w:rPr>
        <w:t>(En appel d’un jugement de la Cour fédérale du Canada)</w:t>
      </w:r>
    </w:p>
    <w:p w14:paraId="58488C2D" w14:textId="77777777" w:rsidR="00172A86" w:rsidRPr="00A627C4" w:rsidRDefault="00C32E90">
      <w:pPr>
        <w:spacing w:before="120" w:after="120"/>
        <w:jc w:val="both"/>
        <w:rPr>
          <w:rFonts w:eastAsia="Times New Roman"/>
          <w:spacing w:val="-5"/>
        </w:rPr>
      </w:pPr>
      <w:r w:rsidRPr="00A627C4">
        <w:rPr>
          <w:rFonts w:eastAsia="Times New Roman"/>
          <w:spacing w:val="-5"/>
        </w:rPr>
        <w:t>ENTRE:</w:t>
      </w:r>
    </w:p>
    <w:p w14:paraId="58488C2E" w14:textId="77777777" w:rsidR="00172A86" w:rsidRPr="00A627C4" w:rsidRDefault="00C32E90">
      <w:pPr>
        <w:spacing w:before="120" w:after="120"/>
        <w:jc w:val="center"/>
        <w:rPr>
          <w:rFonts w:eastAsia="Times New Roman"/>
          <w:b/>
          <w:spacing w:val="-5"/>
        </w:rPr>
      </w:pPr>
      <w:r w:rsidRPr="00A627C4">
        <w:rPr>
          <w:rFonts w:eastAsia="Times New Roman"/>
          <w:b/>
          <w:spacing w:val="-5"/>
        </w:rPr>
        <w:t>LE MINISTRE DE LA CITOYENNETÉ ET DE L’IMMIGRATION</w:t>
      </w:r>
    </w:p>
    <w:p w14:paraId="58488C2F" w14:textId="101A90D2" w:rsidR="00172A86" w:rsidRPr="00A627C4" w:rsidRDefault="00C32E90">
      <w:pPr>
        <w:spacing w:before="120" w:after="120"/>
        <w:jc w:val="right"/>
        <w:rPr>
          <w:rFonts w:eastAsia="Times New Roman"/>
          <w:spacing w:val="-5"/>
        </w:rPr>
      </w:pPr>
      <w:r w:rsidRPr="00A627C4">
        <w:rPr>
          <w:rFonts w:eastAsia="Times New Roman"/>
          <w:spacing w:val="-5"/>
        </w:rPr>
        <w:t>APPELANT/</w:t>
      </w:r>
    </w:p>
    <w:p w14:paraId="58488C30" w14:textId="77777777" w:rsidR="00172A86" w:rsidRPr="00A627C4" w:rsidRDefault="00C32E90">
      <w:pPr>
        <w:spacing w:before="120" w:after="120"/>
        <w:jc w:val="right"/>
        <w:rPr>
          <w:rFonts w:eastAsia="Times New Roman"/>
          <w:spacing w:val="-5"/>
        </w:rPr>
      </w:pPr>
      <w:r w:rsidRPr="00A627C4">
        <w:rPr>
          <w:rFonts w:eastAsia="Times New Roman"/>
          <w:spacing w:val="-5"/>
        </w:rPr>
        <w:t>Défendeur à la Cour fédérale</w:t>
      </w:r>
    </w:p>
    <w:p w14:paraId="58488C31" w14:textId="77777777" w:rsidR="00172A86" w:rsidRPr="00A627C4" w:rsidRDefault="00C32E90">
      <w:pPr>
        <w:spacing w:before="120" w:after="120"/>
        <w:ind w:left="720"/>
        <w:jc w:val="center"/>
        <w:rPr>
          <w:rFonts w:eastAsia="Times New Roman"/>
          <w:spacing w:val="-5"/>
        </w:rPr>
      </w:pPr>
      <w:r w:rsidRPr="00A627C4">
        <w:rPr>
          <w:rFonts w:eastAsia="Times New Roman"/>
          <w:spacing w:val="-5"/>
        </w:rPr>
        <w:t xml:space="preserve">- et - </w:t>
      </w:r>
    </w:p>
    <w:p w14:paraId="58488C32" w14:textId="77777777" w:rsidR="00172A86" w:rsidRPr="00A627C4" w:rsidRDefault="00C32E90">
      <w:pPr>
        <w:spacing w:before="120" w:after="120"/>
        <w:jc w:val="center"/>
        <w:rPr>
          <w:rFonts w:eastAsia="Times New Roman"/>
          <w:b/>
          <w:spacing w:val="-5"/>
        </w:rPr>
      </w:pPr>
      <w:r w:rsidRPr="00A627C4">
        <w:rPr>
          <w:rFonts w:eastAsia="Times New Roman"/>
          <w:b/>
          <w:spacing w:val="-5"/>
        </w:rPr>
        <w:t>MD. JANNA N.  CHOWDHURY</w:t>
      </w:r>
    </w:p>
    <w:p w14:paraId="58488C33" w14:textId="77777777" w:rsidR="00172A86" w:rsidRPr="00A627C4" w:rsidRDefault="00C32E90">
      <w:pPr>
        <w:spacing w:before="120" w:after="120"/>
        <w:jc w:val="right"/>
        <w:rPr>
          <w:rFonts w:eastAsia="Times New Roman"/>
          <w:spacing w:val="-5"/>
        </w:rPr>
      </w:pPr>
      <w:r w:rsidRPr="00A627C4">
        <w:rPr>
          <w:rFonts w:eastAsia="Times New Roman"/>
          <w:spacing w:val="-5"/>
        </w:rPr>
        <w:t>INTIMÉ/</w:t>
      </w:r>
    </w:p>
    <w:p w14:paraId="58488C34" w14:textId="77777777" w:rsidR="00172A86" w:rsidRDefault="00C32E90">
      <w:pPr>
        <w:spacing w:before="120" w:after="120"/>
        <w:jc w:val="right"/>
        <w:rPr>
          <w:rFonts w:eastAsia="Times New Roman"/>
          <w:spacing w:val="-5"/>
        </w:rPr>
      </w:pPr>
      <w:r w:rsidRPr="00A627C4">
        <w:rPr>
          <w:rFonts w:eastAsia="Times New Roman"/>
          <w:spacing w:val="-5"/>
        </w:rPr>
        <w:t>Demandeur à la Cour fédérale</w:t>
      </w:r>
    </w:p>
    <w:p w14:paraId="5E7987F8" w14:textId="77777777" w:rsidR="00B0040C" w:rsidRPr="00A627C4" w:rsidRDefault="00B0040C">
      <w:pPr>
        <w:spacing w:before="120" w:after="120"/>
        <w:jc w:val="right"/>
        <w:rPr>
          <w:rFonts w:eastAsia="Times New Roman"/>
          <w:spacing w:val="-5"/>
        </w:rPr>
      </w:pPr>
    </w:p>
    <w:p w14:paraId="58488C36" w14:textId="3A895592" w:rsidR="00172A86" w:rsidRDefault="00000000">
      <w:pPr>
        <w:spacing w:before="120" w:after="120"/>
        <w:jc w:val="both"/>
        <w:rPr>
          <w:rFonts w:eastAsia="Times New Roman"/>
          <w:b/>
          <w:spacing w:val="-5"/>
          <w:u w:val="single"/>
        </w:rPr>
      </w:pPr>
      <w:r>
        <w:rPr>
          <w:noProof/>
        </w:rPr>
        <w:pict w14:anchorId="73B91417">
          <v:rect id="_x0000_i1025" alt="" style="width:468pt;height:.05pt;mso-width-percent:0;mso-height-percent:0;mso-width-percent:0;mso-height-percent:0" o:hralign="center" o:hrstd="t" o:hr="t" fillcolor="#a0a0a0" stroked="f"/>
        </w:pict>
      </w:r>
    </w:p>
    <w:p w14:paraId="5723E025" w14:textId="77777777" w:rsidR="00DC525F" w:rsidRPr="00A627C4" w:rsidRDefault="00DC525F">
      <w:pPr>
        <w:spacing w:before="120" w:after="120"/>
        <w:jc w:val="both"/>
        <w:rPr>
          <w:rFonts w:eastAsia="Times New Roman"/>
          <w:b/>
          <w:spacing w:val="-5"/>
          <w:u w:val="single"/>
        </w:rPr>
      </w:pPr>
    </w:p>
    <w:p w14:paraId="1EEA6DC4" w14:textId="5998DC24" w:rsidR="003F41F4" w:rsidRDefault="00C32E90" w:rsidP="00765F6E">
      <w:pPr>
        <w:spacing w:before="240" w:after="240"/>
        <w:jc w:val="center"/>
        <w:rPr>
          <w:rFonts w:eastAsia="Times New Roman"/>
          <w:b/>
          <w:spacing w:val="-5"/>
        </w:rPr>
      </w:pPr>
      <w:r w:rsidRPr="00A627C4">
        <w:rPr>
          <w:rFonts w:eastAsia="Times New Roman"/>
          <w:b/>
          <w:spacing w:val="-5"/>
        </w:rPr>
        <w:t>MÉMOIRE DE L’INTIMÉ</w:t>
      </w:r>
    </w:p>
    <w:p w14:paraId="3C96EC4E" w14:textId="5A294B2E" w:rsidR="00ED4117" w:rsidRPr="00E8706A" w:rsidRDefault="00000000" w:rsidP="00E8706A">
      <w:pPr>
        <w:spacing w:before="240" w:after="240"/>
        <w:jc w:val="center"/>
        <w:rPr>
          <w:rFonts w:eastAsia="Times New Roman"/>
          <w:b/>
          <w:spacing w:val="-5"/>
        </w:rPr>
      </w:pPr>
      <w:r>
        <w:rPr>
          <w:noProof/>
        </w:rPr>
        <w:pict w14:anchorId="1402F12E">
          <v:rect id="_x0000_i1026" alt="" style="width:468pt;height:.05pt;mso-width-percent:0;mso-height-percent:0;mso-width-percent:0;mso-height-percent:0" o:hralign="center" o:hrstd="t" o:hr="t" fillcolor="#a0a0a0" stroked="f"/>
        </w:pict>
      </w:r>
    </w:p>
    <w:p w14:paraId="58488C3B" w14:textId="4820F728" w:rsidR="00172A86" w:rsidRPr="00AC234B" w:rsidRDefault="00C32E90" w:rsidP="00AC234B">
      <w:pPr>
        <w:spacing w:before="240" w:after="240"/>
        <w:jc w:val="center"/>
        <w:rPr>
          <w:rFonts w:eastAsia="Times New Roman"/>
          <w:b/>
          <w:spacing w:val="-5"/>
          <w:u w:val="single"/>
        </w:rPr>
      </w:pPr>
      <w:r w:rsidRPr="00A627C4">
        <w:rPr>
          <w:rFonts w:eastAsia="Times New Roman"/>
          <w:b/>
          <w:spacing w:val="-5"/>
          <w:u w:val="single"/>
        </w:rPr>
        <w:t>APERÇU</w:t>
      </w:r>
    </w:p>
    <w:p w14:paraId="00E75E59" w14:textId="030DCB5C" w:rsidR="00FC7221" w:rsidRPr="00A627C4" w:rsidRDefault="3DB12D45" w:rsidP="00FC7221">
      <w:pPr>
        <w:pStyle w:val="ListParagraph"/>
        <w:numPr>
          <w:ilvl w:val="0"/>
          <w:numId w:val="7"/>
        </w:numPr>
        <w:spacing w:before="240" w:after="240" w:line="480" w:lineRule="auto"/>
        <w:ind w:left="0" w:firstLine="357"/>
        <w:jc w:val="both"/>
        <w:rPr>
          <w:rFonts w:eastAsia="Times New Roman"/>
          <w:spacing w:val="-5"/>
        </w:rPr>
      </w:pPr>
      <w:r w:rsidRPr="00A627C4">
        <w:rPr>
          <w:rFonts w:eastAsia="Times New Roman"/>
          <w:spacing w:val="-5"/>
        </w:rPr>
        <w:t>L’intimé, M.</w:t>
      </w:r>
      <w:r w:rsidR="00644B0D">
        <w:rPr>
          <w:rFonts w:eastAsia="Times New Roman"/>
          <w:spacing w:val="-5"/>
        </w:rPr>
        <w:t> </w:t>
      </w:r>
      <w:r w:rsidRPr="00A627C4">
        <w:rPr>
          <w:rFonts w:eastAsia="Times New Roman"/>
          <w:spacing w:val="-5"/>
        </w:rPr>
        <w:t>Chowdhury, a le statut de réfugié au Canada depuis le 14 décembre 2017. Le 14 février 2018, il a soumis au Canada une demande de résidence permanente à titre de personne protégée pour lui ainsi que pour son épouse et pour son fils</w:t>
      </w:r>
      <w:r w:rsidR="32B21390" w:rsidRPr="00A627C4">
        <w:rPr>
          <w:rFonts w:eastAsia="Times New Roman"/>
          <w:spacing w:val="-5"/>
        </w:rPr>
        <w:t xml:space="preserve">, tous </w:t>
      </w:r>
      <w:r w:rsidRPr="00A627C4">
        <w:rPr>
          <w:rFonts w:eastAsia="Times New Roman"/>
          <w:spacing w:val="-5"/>
        </w:rPr>
        <w:t>trois</w:t>
      </w:r>
      <w:r w:rsidR="00570254">
        <w:rPr>
          <w:rFonts w:eastAsia="Times New Roman"/>
          <w:spacing w:val="-5"/>
        </w:rPr>
        <w:t xml:space="preserve"> sont</w:t>
      </w:r>
      <w:r w:rsidRPr="00A627C4">
        <w:rPr>
          <w:rFonts w:eastAsia="Times New Roman"/>
          <w:spacing w:val="-5"/>
        </w:rPr>
        <w:t xml:space="preserve"> citoyens du Bangladesh. </w:t>
      </w:r>
    </w:p>
    <w:p w14:paraId="5300EA83" w14:textId="50A5787A" w:rsidR="001C5730" w:rsidRPr="00A627C4" w:rsidRDefault="00092805" w:rsidP="00FC7221">
      <w:pPr>
        <w:pStyle w:val="ListParagraph"/>
        <w:numPr>
          <w:ilvl w:val="0"/>
          <w:numId w:val="7"/>
        </w:numPr>
        <w:spacing w:before="240" w:after="240" w:line="480" w:lineRule="auto"/>
        <w:ind w:left="0" w:firstLine="357"/>
        <w:jc w:val="both"/>
        <w:rPr>
          <w:rFonts w:eastAsia="Times New Roman"/>
          <w:spacing w:val="-5"/>
        </w:rPr>
      </w:pPr>
      <w:r>
        <w:rPr>
          <w:spacing w:val="-5"/>
        </w:rPr>
        <w:t>Sa</w:t>
      </w:r>
      <w:r w:rsidR="19FFF295" w:rsidRPr="00A627C4">
        <w:rPr>
          <w:spacing w:val="-5"/>
        </w:rPr>
        <w:t xml:space="preserve"> demande a été refusée par l’agent d’immigration A. Ali, qui a </w:t>
      </w:r>
      <w:r w:rsidR="00857599">
        <w:rPr>
          <w:spacing w:val="-5"/>
        </w:rPr>
        <w:t xml:space="preserve">jugé </w:t>
      </w:r>
      <w:r w:rsidR="19FFF295" w:rsidRPr="00A627C4">
        <w:rPr>
          <w:spacing w:val="-5"/>
        </w:rPr>
        <w:t>avoir des motifs raisonnables de croire que M.</w:t>
      </w:r>
      <w:r w:rsidR="00644B0D">
        <w:rPr>
          <w:spacing w:val="-5"/>
        </w:rPr>
        <w:t> </w:t>
      </w:r>
      <w:r w:rsidR="19FFF295" w:rsidRPr="00A627C4">
        <w:rPr>
          <w:spacing w:val="-5"/>
        </w:rPr>
        <w:t xml:space="preserve">Chowdhury était interdit de territoire en </w:t>
      </w:r>
      <w:r w:rsidR="00CA7E96">
        <w:rPr>
          <w:spacing w:val="-5"/>
        </w:rPr>
        <w:t>vertu</w:t>
      </w:r>
      <w:r w:rsidR="19FFF295" w:rsidRPr="00A627C4">
        <w:rPr>
          <w:spacing w:val="-5"/>
        </w:rPr>
        <w:t xml:space="preserve"> des alinéas 34</w:t>
      </w:r>
      <w:r w:rsidR="00644B0D">
        <w:rPr>
          <w:spacing w:val="-5"/>
        </w:rPr>
        <w:t xml:space="preserve"> </w:t>
      </w:r>
      <w:r w:rsidR="19FFF295" w:rsidRPr="00A627C4">
        <w:rPr>
          <w:spacing w:val="-5"/>
        </w:rPr>
        <w:t xml:space="preserve">(1) b) et f) de la </w:t>
      </w:r>
      <w:r w:rsidR="19FFF295" w:rsidRPr="07ABB96B">
        <w:rPr>
          <w:i/>
          <w:iCs/>
          <w:spacing w:val="-5"/>
        </w:rPr>
        <w:t xml:space="preserve">Loi sur l’immigration et la protection des réfugiés </w:t>
      </w:r>
      <w:r w:rsidR="19FFF295" w:rsidRPr="00A627C4">
        <w:rPr>
          <w:spacing w:val="-5"/>
        </w:rPr>
        <w:t>(ci-après «</w:t>
      </w:r>
      <w:r w:rsidR="00644B0D">
        <w:rPr>
          <w:spacing w:val="-5"/>
        </w:rPr>
        <w:t> </w:t>
      </w:r>
      <w:r w:rsidR="19FFF295" w:rsidRPr="00A627C4">
        <w:rPr>
          <w:spacing w:val="-5"/>
        </w:rPr>
        <w:t>LIPR</w:t>
      </w:r>
      <w:r w:rsidR="00644B0D">
        <w:rPr>
          <w:spacing w:val="-5"/>
        </w:rPr>
        <w:t> </w:t>
      </w:r>
      <w:r w:rsidR="19FFF295" w:rsidRPr="00A627C4">
        <w:rPr>
          <w:spacing w:val="-5"/>
        </w:rPr>
        <w:t>»)</w:t>
      </w:r>
      <w:r w:rsidR="00474080" w:rsidRPr="00A627C4">
        <w:rPr>
          <w:rStyle w:val="FootnoteReference"/>
          <w:spacing w:val="-5"/>
        </w:rPr>
        <w:footnoteReference w:id="2"/>
      </w:r>
      <w:r w:rsidR="19FFF295" w:rsidRPr="00A627C4">
        <w:rPr>
          <w:spacing w:val="-5"/>
        </w:rPr>
        <w:t xml:space="preserve">. L’agent a fondé sa décision </w:t>
      </w:r>
      <w:r w:rsidR="19FFF295" w:rsidRPr="00A627C4">
        <w:rPr>
          <w:spacing w:val="-5"/>
        </w:rPr>
        <w:lastRenderedPageBreak/>
        <w:t xml:space="preserve">sur l’appartenance </w:t>
      </w:r>
      <w:r w:rsidR="009563C5">
        <w:rPr>
          <w:spacing w:val="-5"/>
        </w:rPr>
        <w:t>du demandeur</w:t>
      </w:r>
      <w:r w:rsidR="19FFF295" w:rsidRPr="00A627C4">
        <w:rPr>
          <w:spacing w:val="-5"/>
        </w:rPr>
        <w:t xml:space="preserve"> au Parti National du Bangladesh (ci-après «</w:t>
      </w:r>
      <w:r w:rsidR="00644B0D">
        <w:rPr>
          <w:spacing w:val="-5"/>
        </w:rPr>
        <w:t> </w:t>
      </w:r>
      <w:r w:rsidR="19FFF295" w:rsidRPr="00A627C4">
        <w:rPr>
          <w:spacing w:val="-5"/>
        </w:rPr>
        <w:t>PNB</w:t>
      </w:r>
      <w:r w:rsidR="00644B0D">
        <w:rPr>
          <w:spacing w:val="-5"/>
        </w:rPr>
        <w:t> </w:t>
      </w:r>
      <w:r w:rsidR="19FFF295" w:rsidRPr="00A627C4">
        <w:rPr>
          <w:spacing w:val="-5"/>
        </w:rPr>
        <w:t xml:space="preserve">»), qu’il a qualifié d’organisation ayant commis des actes visant à renverser le gouvernement par la force en raison des appels aux </w:t>
      </w:r>
      <w:r w:rsidR="19FFF295" w:rsidRPr="07ABB96B">
        <w:rPr>
          <w:i/>
          <w:iCs/>
          <w:spacing w:val="-5"/>
        </w:rPr>
        <w:t xml:space="preserve">hartals </w:t>
      </w:r>
      <w:r w:rsidR="19FFF295" w:rsidRPr="00A627C4">
        <w:rPr>
          <w:spacing w:val="-5"/>
        </w:rPr>
        <w:t xml:space="preserve">lancés par le PNB qui ont causé </w:t>
      </w:r>
      <w:r w:rsidR="4CF1592F" w:rsidRPr="00A627C4">
        <w:rPr>
          <w:spacing w:val="-5"/>
        </w:rPr>
        <w:t xml:space="preserve">des </w:t>
      </w:r>
      <w:r w:rsidR="19FFF295" w:rsidRPr="00A627C4">
        <w:rPr>
          <w:spacing w:val="-5"/>
        </w:rPr>
        <w:t>décès et de la violence dans les dernières années.</w:t>
      </w:r>
    </w:p>
    <w:p w14:paraId="0C6E1152" w14:textId="1FDC8D3D" w:rsidR="00AA69F5" w:rsidRPr="00A627C4" w:rsidRDefault="1153607F" w:rsidP="00FC7221">
      <w:pPr>
        <w:pStyle w:val="ListParagraph"/>
        <w:numPr>
          <w:ilvl w:val="0"/>
          <w:numId w:val="7"/>
        </w:numPr>
        <w:spacing w:before="240" w:after="240" w:line="480" w:lineRule="auto"/>
        <w:ind w:left="0" w:firstLine="357"/>
        <w:jc w:val="both"/>
        <w:rPr>
          <w:rFonts w:eastAsia="Times New Roman"/>
          <w:spacing w:val="-5"/>
        </w:rPr>
      </w:pPr>
      <w:r w:rsidRPr="00A627C4">
        <w:rPr>
          <w:spacing w:val="-5"/>
        </w:rPr>
        <w:t>L’intimé a déposé une demande en contrôle judiciaire à la Cour fédérale (ci-après «</w:t>
      </w:r>
      <w:r w:rsidR="00644B0D">
        <w:rPr>
          <w:spacing w:val="-5"/>
        </w:rPr>
        <w:t> </w:t>
      </w:r>
      <w:r w:rsidRPr="00A627C4">
        <w:rPr>
          <w:spacing w:val="-5"/>
        </w:rPr>
        <w:t>CF</w:t>
      </w:r>
      <w:r w:rsidR="00644B0D">
        <w:rPr>
          <w:spacing w:val="-5"/>
        </w:rPr>
        <w:t> </w:t>
      </w:r>
      <w:r w:rsidRPr="00A627C4">
        <w:rPr>
          <w:spacing w:val="-5"/>
        </w:rPr>
        <w:t>») pour contester le refus de sa demande de résidence permanente. Cette demande a été accueillie par la juge Jagger. Elle a conclu que l’agent d’immigration avait erré en ne considérant pas la contrainte sous laquelle était M.</w:t>
      </w:r>
      <w:r w:rsidR="00644B0D">
        <w:rPr>
          <w:spacing w:val="-5"/>
        </w:rPr>
        <w:t> </w:t>
      </w:r>
      <w:r w:rsidRPr="00A627C4">
        <w:rPr>
          <w:spacing w:val="-5"/>
        </w:rPr>
        <w:t>Chowdhury et en concluant de ce fait qu’il était visé par l’alinéa 34</w:t>
      </w:r>
      <w:r w:rsidR="00644B0D">
        <w:rPr>
          <w:spacing w:val="-5"/>
        </w:rPr>
        <w:t xml:space="preserve"> </w:t>
      </w:r>
      <w:r w:rsidRPr="00A627C4">
        <w:rPr>
          <w:spacing w:val="-5"/>
        </w:rPr>
        <w:t>(1)</w:t>
      </w:r>
      <w:r w:rsidR="00644B0D">
        <w:rPr>
          <w:spacing w:val="-5"/>
        </w:rPr>
        <w:t xml:space="preserve"> </w:t>
      </w:r>
      <w:r w:rsidRPr="00A627C4">
        <w:rPr>
          <w:spacing w:val="-5"/>
        </w:rPr>
        <w:t>f) de la LIPR. Elle a aussi jugé que l’agent avait eu tort de conclure que le PNB</w:t>
      </w:r>
      <w:r w:rsidR="4B5B46F3" w:rsidRPr="00A627C4">
        <w:rPr>
          <w:spacing w:val="-5"/>
        </w:rPr>
        <w:t xml:space="preserve">, un parti légitime </w:t>
      </w:r>
      <w:r w:rsidR="5CF5B937" w:rsidRPr="00A627C4">
        <w:rPr>
          <w:spacing w:val="-5"/>
        </w:rPr>
        <w:t xml:space="preserve">du système </w:t>
      </w:r>
      <w:r w:rsidR="4B5B46F3" w:rsidRPr="00A627C4">
        <w:rPr>
          <w:spacing w:val="-5"/>
        </w:rPr>
        <w:t>démocratique</w:t>
      </w:r>
      <w:r w:rsidR="5CF5B937" w:rsidRPr="00A627C4">
        <w:rPr>
          <w:spacing w:val="-5"/>
        </w:rPr>
        <w:t xml:space="preserve"> b</w:t>
      </w:r>
      <w:r w:rsidR="00185E56">
        <w:rPr>
          <w:spacing w:val="-5"/>
        </w:rPr>
        <w:t>angladeshi</w:t>
      </w:r>
      <w:r w:rsidR="4B5B46F3" w:rsidRPr="00A627C4">
        <w:rPr>
          <w:spacing w:val="-5"/>
        </w:rPr>
        <w:t>,</w:t>
      </w:r>
      <w:r w:rsidRPr="00A627C4">
        <w:rPr>
          <w:spacing w:val="-5"/>
        </w:rPr>
        <w:t xml:space="preserve"> était visé par l’alinéa 34</w:t>
      </w:r>
      <w:r w:rsidR="00644B0D">
        <w:rPr>
          <w:spacing w:val="-5"/>
        </w:rPr>
        <w:t xml:space="preserve"> </w:t>
      </w:r>
      <w:r w:rsidRPr="00A627C4">
        <w:rPr>
          <w:spacing w:val="-5"/>
        </w:rPr>
        <w:t>(1)</w:t>
      </w:r>
      <w:r w:rsidR="00644B0D">
        <w:rPr>
          <w:spacing w:val="-5"/>
        </w:rPr>
        <w:t xml:space="preserve"> </w:t>
      </w:r>
      <w:r w:rsidRPr="00A627C4">
        <w:rPr>
          <w:spacing w:val="-5"/>
        </w:rPr>
        <w:t>b) de la LIPR.</w:t>
      </w:r>
    </w:p>
    <w:p w14:paraId="2DDDD16A" w14:textId="2620B375" w:rsidR="00310EA2" w:rsidRPr="00A627C4" w:rsidRDefault="555C2D27" w:rsidP="00FC7221">
      <w:pPr>
        <w:pStyle w:val="ListParagraph"/>
        <w:numPr>
          <w:ilvl w:val="0"/>
          <w:numId w:val="7"/>
        </w:numPr>
        <w:spacing w:before="240" w:after="240" w:line="480" w:lineRule="auto"/>
        <w:ind w:left="0" w:firstLine="357"/>
        <w:jc w:val="both"/>
        <w:rPr>
          <w:rFonts w:eastAsia="Times New Roman"/>
          <w:spacing w:val="-5"/>
        </w:rPr>
      </w:pPr>
      <w:r w:rsidRPr="00A627C4">
        <w:rPr>
          <w:spacing w:val="-5"/>
        </w:rPr>
        <w:t>À cet égard, la juge Jagger a certifié deux questions</w:t>
      </w:r>
      <w:r w:rsidR="00644B0D">
        <w:rPr>
          <w:spacing w:val="-5"/>
        </w:rPr>
        <w:t> </w:t>
      </w:r>
      <w:r w:rsidRPr="00A627C4">
        <w:rPr>
          <w:spacing w:val="-5"/>
        </w:rPr>
        <w:t>: (1) Une organisation qui exerce une fonction démocratique légitime en tant que parti politique peut-elle tomber sous le coup de l’alinéa 34</w:t>
      </w:r>
      <w:r w:rsidR="00644B0D">
        <w:rPr>
          <w:spacing w:val="-5"/>
        </w:rPr>
        <w:t xml:space="preserve"> </w:t>
      </w:r>
      <w:r w:rsidRPr="00A627C4">
        <w:rPr>
          <w:spacing w:val="-5"/>
        </w:rPr>
        <w:t>(1)</w:t>
      </w:r>
      <w:r w:rsidR="00644B0D">
        <w:rPr>
          <w:spacing w:val="-5"/>
        </w:rPr>
        <w:t xml:space="preserve"> </w:t>
      </w:r>
      <w:r w:rsidRPr="00A627C4">
        <w:rPr>
          <w:spacing w:val="-5"/>
        </w:rPr>
        <w:t>b) de la LIPR en tant qu’organisation pour laquelle il y a des motifs raisonnables de croire</w:t>
      </w:r>
      <w:r w:rsidR="18D79F28" w:rsidRPr="00A627C4">
        <w:rPr>
          <w:spacing w:val="-5"/>
        </w:rPr>
        <w:t xml:space="preserve"> qu’elle est l’instigatrice ou </w:t>
      </w:r>
      <w:r w:rsidR="23F40BAE" w:rsidRPr="00A627C4">
        <w:rPr>
          <w:spacing w:val="-5"/>
        </w:rPr>
        <w:t>l’aut</w:t>
      </w:r>
      <w:r w:rsidR="212DAFD2" w:rsidRPr="00A627C4">
        <w:rPr>
          <w:spacing w:val="-5"/>
        </w:rPr>
        <w:t>rice</w:t>
      </w:r>
      <w:r w:rsidR="00F02CB5">
        <w:rPr>
          <w:spacing w:val="-5"/>
        </w:rPr>
        <w:t xml:space="preserve"> </w:t>
      </w:r>
      <w:r w:rsidR="18D79F28" w:rsidRPr="00A627C4">
        <w:rPr>
          <w:spacing w:val="-5"/>
        </w:rPr>
        <w:t>d’actes visant au renversement d’un gouvernement par la force</w:t>
      </w:r>
      <w:r w:rsidR="00644B0D">
        <w:rPr>
          <w:spacing w:val="-5"/>
        </w:rPr>
        <w:t> </w:t>
      </w:r>
      <w:r w:rsidR="18D79F28" w:rsidRPr="00A627C4">
        <w:rPr>
          <w:spacing w:val="-5"/>
        </w:rPr>
        <w:t>? (2) La preuve indiquant qu’il y a eu contrainte peut-elle annuler une conclusion selon laquelle il y avait appartenance à une organisation en application de l’alinéa</w:t>
      </w:r>
      <w:r w:rsidR="00644B0D">
        <w:rPr>
          <w:spacing w:val="-5"/>
        </w:rPr>
        <w:t> </w:t>
      </w:r>
      <w:r w:rsidR="18D79F28" w:rsidRPr="00A627C4">
        <w:rPr>
          <w:spacing w:val="-5"/>
        </w:rPr>
        <w:t>34</w:t>
      </w:r>
      <w:r w:rsidR="00644B0D">
        <w:rPr>
          <w:spacing w:val="-5"/>
        </w:rPr>
        <w:t xml:space="preserve"> </w:t>
      </w:r>
      <w:r w:rsidR="18D79F28" w:rsidRPr="00A627C4">
        <w:rPr>
          <w:spacing w:val="-5"/>
        </w:rPr>
        <w:t>(1)</w:t>
      </w:r>
      <w:r w:rsidR="00644B0D">
        <w:rPr>
          <w:spacing w:val="-5"/>
        </w:rPr>
        <w:t xml:space="preserve"> </w:t>
      </w:r>
      <w:r w:rsidR="18D79F28" w:rsidRPr="00A627C4">
        <w:rPr>
          <w:spacing w:val="-5"/>
        </w:rPr>
        <w:t>f)</w:t>
      </w:r>
      <w:r w:rsidR="00644B0D">
        <w:rPr>
          <w:spacing w:val="-5"/>
        </w:rPr>
        <w:t> </w:t>
      </w:r>
      <w:r w:rsidR="18D79F28" w:rsidRPr="00A627C4">
        <w:rPr>
          <w:spacing w:val="-5"/>
        </w:rPr>
        <w:t>?</w:t>
      </w:r>
    </w:p>
    <w:p w14:paraId="1C36A4F7" w14:textId="4F91496C" w:rsidR="005363AE" w:rsidRPr="00A627C4" w:rsidRDefault="00802402" w:rsidP="00FC7221">
      <w:pPr>
        <w:pStyle w:val="ListParagraph"/>
        <w:numPr>
          <w:ilvl w:val="0"/>
          <w:numId w:val="7"/>
        </w:numPr>
        <w:spacing w:before="240" w:after="240" w:line="480" w:lineRule="auto"/>
        <w:ind w:left="0" w:firstLine="357"/>
        <w:jc w:val="both"/>
        <w:rPr>
          <w:rFonts w:eastAsia="Times New Roman"/>
          <w:spacing w:val="-5"/>
        </w:rPr>
      </w:pPr>
      <w:r>
        <w:rPr>
          <w:spacing w:val="-5"/>
        </w:rPr>
        <w:t>Quant</w:t>
      </w:r>
      <w:r w:rsidR="67BC777F" w:rsidRPr="00A627C4">
        <w:rPr>
          <w:spacing w:val="-5"/>
        </w:rPr>
        <w:t xml:space="preserve"> à la première question, la juge Jagger a conclu </w:t>
      </w:r>
      <w:r w:rsidR="00891F58">
        <w:rPr>
          <w:spacing w:val="-5"/>
        </w:rPr>
        <w:t xml:space="preserve">à bon droit </w:t>
      </w:r>
      <w:r w:rsidR="67BC777F" w:rsidRPr="00A627C4">
        <w:rPr>
          <w:spacing w:val="-5"/>
        </w:rPr>
        <w:t>que le PNB n’était pas visé par l’alinéa 34</w:t>
      </w:r>
      <w:r w:rsidR="00644B0D">
        <w:rPr>
          <w:spacing w:val="-5"/>
        </w:rPr>
        <w:t xml:space="preserve"> </w:t>
      </w:r>
      <w:r w:rsidR="67BC777F" w:rsidRPr="00A627C4">
        <w:rPr>
          <w:spacing w:val="-5"/>
        </w:rPr>
        <w:t xml:space="preserve">(1) b) de la LIPR. </w:t>
      </w:r>
      <w:r w:rsidR="40995311" w:rsidRPr="00A627C4">
        <w:rPr>
          <w:spacing w:val="-5"/>
        </w:rPr>
        <w:t xml:space="preserve">Effectivement, </w:t>
      </w:r>
      <w:r w:rsidR="640F770D" w:rsidRPr="00A627C4">
        <w:rPr>
          <w:spacing w:val="-5"/>
        </w:rPr>
        <w:t xml:space="preserve">le PNB </w:t>
      </w:r>
      <w:r w:rsidR="12811AFC" w:rsidRPr="00A627C4">
        <w:rPr>
          <w:spacing w:val="-5"/>
        </w:rPr>
        <w:t>ne</w:t>
      </w:r>
      <w:r w:rsidR="78277EC5" w:rsidRPr="00A627C4">
        <w:rPr>
          <w:spacing w:val="-5"/>
        </w:rPr>
        <w:t xml:space="preserve"> </w:t>
      </w:r>
      <w:r w:rsidR="640F770D" w:rsidRPr="00A627C4">
        <w:rPr>
          <w:spacing w:val="-5"/>
        </w:rPr>
        <w:t xml:space="preserve">répond </w:t>
      </w:r>
      <w:r w:rsidR="36C30D99" w:rsidRPr="00A627C4">
        <w:rPr>
          <w:spacing w:val="-5"/>
        </w:rPr>
        <w:t>pas</w:t>
      </w:r>
      <w:r w:rsidR="640F770D" w:rsidRPr="00A627C4">
        <w:rPr>
          <w:spacing w:val="-5"/>
        </w:rPr>
        <w:t xml:space="preserve"> aux critères d’application de l’alinéa. </w:t>
      </w:r>
      <w:r w:rsidR="2F229E7C" w:rsidRPr="00A627C4">
        <w:rPr>
          <w:spacing w:val="-5"/>
        </w:rPr>
        <w:t xml:space="preserve">Les </w:t>
      </w:r>
      <w:r w:rsidR="2F229E7C" w:rsidRPr="07ABB96B">
        <w:rPr>
          <w:i/>
          <w:iCs/>
          <w:spacing w:val="-5"/>
        </w:rPr>
        <w:t>hartals</w:t>
      </w:r>
      <w:r w:rsidR="79E8AC97" w:rsidRPr="00A627C4">
        <w:rPr>
          <w:spacing w:val="-5"/>
        </w:rPr>
        <w:t>, qui sont des grèves ou des manifestations de masse tenue à l’échelle du pays</w:t>
      </w:r>
      <w:r w:rsidR="749FAF1F" w:rsidRPr="00A627C4">
        <w:rPr>
          <w:spacing w:val="-5"/>
        </w:rPr>
        <w:t>, sont une pratique courante et légitime du Bangladesh. Bien</w:t>
      </w:r>
      <w:r w:rsidR="2F229E7C" w:rsidRPr="07ABB96B">
        <w:rPr>
          <w:i/>
          <w:iCs/>
          <w:spacing w:val="-5"/>
        </w:rPr>
        <w:t xml:space="preserve"> </w:t>
      </w:r>
      <w:r w:rsidR="749FAF1F" w:rsidRPr="00A627C4">
        <w:rPr>
          <w:spacing w:val="-5"/>
        </w:rPr>
        <w:t xml:space="preserve">que </w:t>
      </w:r>
      <w:r w:rsidR="2F229E7C" w:rsidRPr="00A627C4">
        <w:rPr>
          <w:spacing w:val="-5"/>
        </w:rPr>
        <w:t>le PNB a</w:t>
      </w:r>
      <w:r w:rsidR="749FAF1F" w:rsidRPr="00A627C4">
        <w:rPr>
          <w:spacing w:val="-5"/>
        </w:rPr>
        <w:t>it</w:t>
      </w:r>
      <w:r w:rsidR="2F229E7C" w:rsidRPr="00A627C4">
        <w:rPr>
          <w:spacing w:val="-5"/>
        </w:rPr>
        <w:t xml:space="preserve"> fait appel </w:t>
      </w:r>
      <w:r w:rsidR="749FAF1F" w:rsidRPr="00A627C4">
        <w:rPr>
          <w:spacing w:val="-5"/>
        </w:rPr>
        <w:t xml:space="preserve">à des </w:t>
      </w:r>
      <w:r w:rsidR="749FAF1F" w:rsidRPr="07ABB96B">
        <w:rPr>
          <w:i/>
          <w:iCs/>
          <w:spacing w:val="-5"/>
        </w:rPr>
        <w:t xml:space="preserve">hartals </w:t>
      </w:r>
      <w:r w:rsidR="749FAF1F" w:rsidRPr="00A627C4">
        <w:rPr>
          <w:spacing w:val="-5"/>
        </w:rPr>
        <w:t xml:space="preserve">qui </w:t>
      </w:r>
      <w:r w:rsidR="2F229E7C" w:rsidRPr="00A627C4">
        <w:rPr>
          <w:spacing w:val="-5"/>
        </w:rPr>
        <w:t xml:space="preserve">ont </w:t>
      </w:r>
      <w:r w:rsidR="4E12CF91" w:rsidRPr="00A627C4">
        <w:rPr>
          <w:spacing w:val="-5"/>
        </w:rPr>
        <w:t>découlé en des actes de violence</w:t>
      </w:r>
      <w:r w:rsidR="749FAF1F" w:rsidRPr="00A627C4">
        <w:rPr>
          <w:spacing w:val="-5"/>
        </w:rPr>
        <w:t xml:space="preserve">, </w:t>
      </w:r>
      <w:r w:rsidR="00296086">
        <w:rPr>
          <w:spacing w:val="-5"/>
        </w:rPr>
        <w:t>elle</w:t>
      </w:r>
      <w:r w:rsidR="749FAF1F" w:rsidRPr="00A627C4">
        <w:rPr>
          <w:spacing w:val="-5"/>
        </w:rPr>
        <w:t xml:space="preserve"> était </w:t>
      </w:r>
      <w:r w:rsidR="4E12CF91" w:rsidRPr="00A627C4">
        <w:rPr>
          <w:spacing w:val="-5"/>
        </w:rPr>
        <w:t>généralisée</w:t>
      </w:r>
      <w:r w:rsidR="749FAF1F" w:rsidRPr="00A627C4">
        <w:rPr>
          <w:spacing w:val="-5"/>
        </w:rPr>
        <w:t xml:space="preserve"> et ne répondait pas au critère de force</w:t>
      </w:r>
      <w:r w:rsidR="6B258771" w:rsidRPr="00A627C4">
        <w:rPr>
          <w:spacing w:val="-5"/>
        </w:rPr>
        <w:t xml:space="preserve">. </w:t>
      </w:r>
      <w:r w:rsidR="52B631EC" w:rsidRPr="00A627C4">
        <w:rPr>
          <w:spacing w:val="-5"/>
        </w:rPr>
        <w:t>De plus, la</w:t>
      </w:r>
      <w:r w:rsidR="5CCA0BED" w:rsidRPr="00A627C4">
        <w:rPr>
          <w:spacing w:val="-5"/>
        </w:rPr>
        <w:t xml:space="preserve"> preuve ne répond </w:t>
      </w:r>
      <w:r w:rsidR="52B631EC" w:rsidRPr="00A627C4">
        <w:rPr>
          <w:spacing w:val="-5"/>
        </w:rPr>
        <w:t>pas au critère d’intention </w:t>
      </w:r>
      <w:r w:rsidR="05499357" w:rsidRPr="00A627C4">
        <w:rPr>
          <w:spacing w:val="-5"/>
        </w:rPr>
        <w:t xml:space="preserve">de l’organisation d’utiliser la violence en vue de renverser le gouvernement. </w:t>
      </w:r>
      <w:r w:rsidR="3D5105B8" w:rsidRPr="00A627C4">
        <w:rPr>
          <w:spacing w:val="-5"/>
        </w:rPr>
        <w:t xml:space="preserve">L’agent Ali a eu tort de déduire qu’une preuve d’actes de violence </w:t>
      </w:r>
      <w:r w:rsidR="135F4150" w:rsidRPr="00A627C4">
        <w:rPr>
          <w:spacing w:val="-5"/>
        </w:rPr>
        <w:t>signifiait une preuve d’</w:t>
      </w:r>
      <w:r w:rsidR="5EA407E0" w:rsidRPr="00A627C4">
        <w:rPr>
          <w:spacing w:val="-5"/>
        </w:rPr>
        <w:t>intention</w:t>
      </w:r>
      <w:r w:rsidR="3E260669" w:rsidRPr="00A627C4">
        <w:rPr>
          <w:spacing w:val="-5"/>
        </w:rPr>
        <w:t xml:space="preserve"> qu’il y a</w:t>
      </w:r>
      <w:r w:rsidR="00570254">
        <w:rPr>
          <w:spacing w:val="-5"/>
        </w:rPr>
        <w:t>it</w:t>
      </w:r>
      <w:r w:rsidR="3E260669" w:rsidRPr="00A627C4">
        <w:rPr>
          <w:spacing w:val="-5"/>
        </w:rPr>
        <w:t xml:space="preserve"> des actes de violence</w:t>
      </w:r>
      <w:r w:rsidR="75373481" w:rsidRPr="00A627C4">
        <w:rPr>
          <w:spacing w:val="-5"/>
        </w:rPr>
        <w:t xml:space="preserve"> en vue de renverser le gouvernement par la force. </w:t>
      </w:r>
      <w:r w:rsidR="669AB7B6" w:rsidRPr="00A627C4">
        <w:rPr>
          <w:spacing w:val="-5"/>
        </w:rPr>
        <w:t xml:space="preserve">Le PNB </w:t>
      </w:r>
      <w:r w:rsidR="3FA4B7B1" w:rsidRPr="00A627C4">
        <w:rPr>
          <w:spacing w:val="-5"/>
        </w:rPr>
        <w:lastRenderedPageBreak/>
        <w:t>n’a jamais explicitement fait des appels à la violence</w:t>
      </w:r>
      <w:r w:rsidR="6DCE14DD" w:rsidRPr="00A627C4">
        <w:rPr>
          <w:spacing w:val="-5"/>
        </w:rPr>
        <w:t xml:space="preserve">. </w:t>
      </w:r>
      <w:r w:rsidR="16191C32" w:rsidRPr="00A627C4">
        <w:rPr>
          <w:spacing w:val="-5"/>
        </w:rPr>
        <w:t xml:space="preserve">De surcroît, il </w:t>
      </w:r>
      <w:r w:rsidR="4E3C2FF2" w:rsidRPr="00A627C4">
        <w:rPr>
          <w:spacing w:val="-5"/>
        </w:rPr>
        <w:t>y a</w:t>
      </w:r>
      <w:r w:rsidR="16191C32" w:rsidRPr="00A627C4">
        <w:rPr>
          <w:spacing w:val="-5"/>
        </w:rPr>
        <w:t xml:space="preserve"> </w:t>
      </w:r>
      <w:r w:rsidR="2816CB35" w:rsidRPr="00A627C4">
        <w:rPr>
          <w:spacing w:val="-5"/>
        </w:rPr>
        <w:t>une ambiguïté</w:t>
      </w:r>
      <w:r w:rsidR="16191C32" w:rsidRPr="00A627C4">
        <w:rPr>
          <w:spacing w:val="-5"/>
        </w:rPr>
        <w:t xml:space="preserve"> qui perdure </w:t>
      </w:r>
      <w:r w:rsidR="7481007C" w:rsidRPr="00A627C4">
        <w:rPr>
          <w:spacing w:val="-5"/>
        </w:rPr>
        <w:t>quant à l’interprétation du terme renversement, ce qui ne permet pas de le distinguer</w:t>
      </w:r>
      <w:r w:rsidR="5E18DAE8" w:rsidRPr="00A627C4">
        <w:rPr>
          <w:spacing w:val="-5"/>
        </w:rPr>
        <w:t xml:space="preserve"> de la dissidence licite. </w:t>
      </w:r>
    </w:p>
    <w:p w14:paraId="72E3E264" w14:textId="13BA9DBD" w:rsidR="00AE0BC1" w:rsidRPr="00A627C4" w:rsidRDefault="2FD2A777" w:rsidP="00FC7221">
      <w:pPr>
        <w:pStyle w:val="ListParagraph"/>
        <w:numPr>
          <w:ilvl w:val="0"/>
          <w:numId w:val="7"/>
        </w:numPr>
        <w:spacing w:before="240" w:after="240" w:line="480" w:lineRule="auto"/>
        <w:ind w:left="0" w:firstLine="357"/>
        <w:jc w:val="both"/>
        <w:rPr>
          <w:rFonts w:eastAsia="Times New Roman"/>
          <w:spacing w:val="-5"/>
        </w:rPr>
      </w:pPr>
      <w:r w:rsidRPr="00A627C4">
        <w:rPr>
          <w:rFonts w:eastAsia="Times New Roman"/>
          <w:spacing w:val="-5"/>
        </w:rPr>
        <w:t xml:space="preserve">Partant, c’est avec raison que la juge Jagger </w:t>
      </w:r>
      <w:r w:rsidR="40817FB8" w:rsidRPr="00A627C4">
        <w:rPr>
          <w:rFonts w:eastAsia="Times New Roman"/>
          <w:spacing w:val="-5"/>
        </w:rPr>
        <w:t>a interprété l’alinéa 34</w:t>
      </w:r>
      <w:r w:rsidR="00644B0D">
        <w:rPr>
          <w:rFonts w:eastAsia="Times New Roman"/>
          <w:spacing w:val="-5"/>
        </w:rPr>
        <w:t xml:space="preserve"> </w:t>
      </w:r>
      <w:r w:rsidR="40817FB8" w:rsidRPr="00A627C4">
        <w:rPr>
          <w:rFonts w:eastAsia="Times New Roman"/>
          <w:spacing w:val="-5"/>
        </w:rPr>
        <w:t>(1) b) de la LIPR en harmonie avec l’article</w:t>
      </w:r>
      <w:r w:rsidR="00644B0D">
        <w:rPr>
          <w:rFonts w:eastAsia="Times New Roman"/>
          <w:spacing w:val="-5"/>
        </w:rPr>
        <w:t> </w:t>
      </w:r>
      <w:r w:rsidR="40817FB8" w:rsidRPr="00A627C4">
        <w:rPr>
          <w:rFonts w:eastAsia="Times New Roman"/>
          <w:spacing w:val="-5"/>
        </w:rPr>
        <w:t xml:space="preserve">2 de la </w:t>
      </w:r>
      <w:r w:rsidR="40817FB8" w:rsidRPr="07ABB96B">
        <w:rPr>
          <w:rFonts w:eastAsia="Times New Roman"/>
          <w:i/>
          <w:iCs/>
          <w:spacing w:val="-5"/>
        </w:rPr>
        <w:t>Charte canadienne des droits et libertés</w:t>
      </w:r>
      <w:r w:rsidR="004A73B4" w:rsidRPr="07ABB96B">
        <w:rPr>
          <w:rStyle w:val="FootnoteReference"/>
          <w:rFonts w:eastAsia="Times New Roman"/>
          <w:i/>
          <w:iCs/>
          <w:spacing w:val="-5"/>
        </w:rPr>
        <w:footnoteReference w:id="3"/>
      </w:r>
      <w:r w:rsidR="40817FB8" w:rsidRPr="07ABB96B">
        <w:rPr>
          <w:rFonts w:eastAsia="Times New Roman"/>
          <w:i/>
          <w:iCs/>
          <w:spacing w:val="-5"/>
        </w:rPr>
        <w:t xml:space="preserve"> </w:t>
      </w:r>
      <w:r w:rsidR="40817FB8" w:rsidRPr="00A627C4">
        <w:rPr>
          <w:rFonts w:eastAsia="Times New Roman"/>
          <w:spacing w:val="-5"/>
        </w:rPr>
        <w:t>(ci-après, la «</w:t>
      </w:r>
      <w:r w:rsidR="00644B0D">
        <w:rPr>
          <w:rFonts w:eastAsia="Times New Roman"/>
          <w:spacing w:val="-5"/>
        </w:rPr>
        <w:t> </w:t>
      </w:r>
      <w:r w:rsidR="40817FB8" w:rsidRPr="00A627C4">
        <w:rPr>
          <w:rFonts w:eastAsia="Times New Roman"/>
          <w:spacing w:val="-5"/>
        </w:rPr>
        <w:t>Charte</w:t>
      </w:r>
      <w:r w:rsidR="00644B0D">
        <w:rPr>
          <w:rFonts w:eastAsia="Times New Roman"/>
          <w:spacing w:val="-5"/>
        </w:rPr>
        <w:t> </w:t>
      </w:r>
      <w:r w:rsidR="40817FB8" w:rsidRPr="00A627C4">
        <w:rPr>
          <w:rFonts w:eastAsia="Times New Roman"/>
          <w:spacing w:val="-5"/>
        </w:rPr>
        <w:t>»)</w:t>
      </w:r>
      <w:r w:rsidR="025D03CD" w:rsidRPr="00A627C4">
        <w:rPr>
          <w:rFonts w:eastAsia="Times New Roman"/>
          <w:spacing w:val="-5"/>
        </w:rPr>
        <w:t xml:space="preserve">, </w:t>
      </w:r>
      <w:r w:rsidR="3CD8B412" w:rsidRPr="00A627C4">
        <w:rPr>
          <w:rFonts w:eastAsia="Times New Roman"/>
          <w:spacing w:val="-5"/>
        </w:rPr>
        <w:t xml:space="preserve">puisque </w:t>
      </w:r>
      <w:r w:rsidR="6B676FA2" w:rsidRPr="00A627C4">
        <w:rPr>
          <w:rFonts w:eastAsia="Times New Roman"/>
          <w:spacing w:val="-5"/>
        </w:rPr>
        <w:t xml:space="preserve">les décideurs ne devraient pas </w:t>
      </w:r>
      <w:r w:rsidR="485B9561" w:rsidRPr="00A627C4">
        <w:rPr>
          <w:rFonts w:eastAsia="Times New Roman"/>
          <w:spacing w:val="-5"/>
        </w:rPr>
        <w:t>interpréter l’alinéa de</w:t>
      </w:r>
      <w:r w:rsidR="59B811B5" w:rsidRPr="00A627C4">
        <w:rPr>
          <w:rFonts w:eastAsia="Times New Roman"/>
          <w:spacing w:val="-5"/>
        </w:rPr>
        <w:t xml:space="preserve"> sorte</w:t>
      </w:r>
      <w:r w:rsidR="103BF836" w:rsidRPr="00A627C4">
        <w:rPr>
          <w:rFonts w:eastAsia="Times New Roman"/>
          <w:spacing w:val="-5"/>
        </w:rPr>
        <w:t xml:space="preserve"> que, s’il s’appliquait à des</w:t>
      </w:r>
      <w:r w:rsidR="59B811B5" w:rsidRPr="00A627C4">
        <w:rPr>
          <w:rFonts w:eastAsia="Times New Roman"/>
          <w:spacing w:val="-5"/>
        </w:rPr>
        <w:t xml:space="preserve"> partis politiques canadiens</w:t>
      </w:r>
      <w:r w:rsidR="103BF836" w:rsidRPr="00A627C4">
        <w:rPr>
          <w:rFonts w:eastAsia="Times New Roman"/>
          <w:spacing w:val="-5"/>
        </w:rPr>
        <w:t xml:space="preserve">, il porterait atteinte à leurs droits garantis par la Charte. </w:t>
      </w:r>
      <w:r w:rsidR="41377349" w:rsidRPr="00A627C4">
        <w:rPr>
          <w:rFonts w:eastAsia="Times New Roman"/>
          <w:spacing w:val="-5"/>
        </w:rPr>
        <w:t>Il serait absurde que des actes acceptés au Canada ne le soi</w:t>
      </w:r>
      <w:r w:rsidR="00570254">
        <w:rPr>
          <w:rFonts w:eastAsia="Times New Roman"/>
          <w:spacing w:val="-5"/>
        </w:rPr>
        <w:t>en</w:t>
      </w:r>
      <w:r w:rsidR="41377349" w:rsidRPr="00A627C4">
        <w:rPr>
          <w:rFonts w:eastAsia="Times New Roman"/>
          <w:spacing w:val="-5"/>
        </w:rPr>
        <w:t>t pas à l’étranger.</w:t>
      </w:r>
    </w:p>
    <w:p w14:paraId="18A0239A" w14:textId="7942058B" w:rsidR="00C460EE" w:rsidRPr="00A627C4" w:rsidRDefault="60203F97" w:rsidP="00FC7221">
      <w:pPr>
        <w:pStyle w:val="ListParagraph"/>
        <w:numPr>
          <w:ilvl w:val="0"/>
          <w:numId w:val="7"/>
        </w:numPr>
        <w:spacing w:before="240" w:after="240" w:line="480" w:lineRule="auto"/>
        <w:ind w:left="0" w:firstLine="357"/>
        <w:jc w:val="both"/>
        <w:rPr>
          <w:rFonts w:eastAsia="Times New Roman"/>
          <w:spacing w:val="-5"/>
        </w:rPr>
      </w:pPr>
      <w:r w:rsidRPr="00A627C4">
        <w:rPr>
          <w:rFonts w:eastAsia="Times New Roman"/>
          <w:spacing w:val="-5"/>
        </w:rPr>
        <w:t xml:space="preserve">Au demeurant, </w:t>
      </w:r>
      <w:r w:rsidR="36F9B906" w:rsidRPr="00A627C4">
        <w:rPr>
          <w:rFonts w:eastAsia="Times New Roman"/>
          <w:spacing w:val="-5"/>
        </w:rPr>
        <w:t xml:space="preserve">contrairement </w:t>
      </w:r>
      <w:r w:rsidR="702F4738" w:rsidRPr="00A627C4">
        <w:rPr>
          <w:rFonts w:eastAsia="Times New Roman"/>
          <w:spacing w:val="-5"/>
        </w:rPr>
        <w:t>aux organisations antérieurement visées</w:t>
      </w:r>
      <w:r w:rsidR="36F9B906" w:rsidRPr="00A627C4">
        <w:rPr>
          <w:rFonts w:eastAsia="Times New Roman"/>
          <w:spacing w:val="-5"/>
        </w:rPr>
        <w:t xml:space="preserve"> par l’alinéa 34</w:t>
      </w:r>
      <w:r w:rsidR="00644B0D">
        <w:rPr>
          <w:rFonts w:eastAsia="Times New Roman"/>
          <w:spacing w:val="-5"/>
        </w:rPr>
        <w:t xml:space="preserve"> </w:t>
      </w:r>
      <w:r w:rsidR="36F9B906" w:rsidRPr="00A627C4">
        <w:rPr>
          <w:rFonts w:eastAsia="Times New Roman"/>
          <w:spacing w:val="-5"/>
        </w:rPr>
        <w:t>(1) b) de la LIPR, qui le sont sans aucune ambiguïté en raison de coups d’État, d’insurrection armée, etc., le PNB s’inscrit dans une situation plus délicate. Comme il s’agit d’</w:t>
      </w:r>
      <w:r w:rsidR="22DBC9A5" w:rsidRPr="00A627C4">
        <w:rPr>
          <w:rFonts w:eastAsia="Times New Roman"/>
          <w:spacing w:val="-5"/>
        </w:rPr>
        <w:t xml:space="preserve">un parti politique légitime dans </w:t>
      </w:r>
      <w:r w:rsidR="7292797A">
        <w:rPr>
          <w:rFonts w:eastAsia="Times New Roman"/>
          <w:spacing w:val="-5"/>
        </w:rPr>
        <w:t>une</w:t>
      </w:r>
      <w:r w:rsidR="22DBC9A5" w:rsidRPr="00A627C4">
        <w:rPr>
          <w:rFonts w:eastAsia="Times New Roman"/>
          <w:spacing w:val="-5"/>
        </w:rPr>
        <w:t xml:space="preserve"> démocratie fonctionnelle, </w:t>
      </w:r>
      <w:r w:rsidR="0B89286E" w:rsidRPr="00A627C4">
        <w:rPr>
          <w:rFonts w:eastAsia="Times New Roman"/>
          <w:spacing w:val="-5"/>
        </w:rPr>
        <w:t xml:space="preserve">on doit présumer que </w:t>
      </w:r>
      <w:r w:rsidR="00DF39B7">
        <w:rPr>
          <w:rFonts w:eastAsia="Times New Roman"/>
          <w:spacing w:val="-5"/>
        </w:rPr>
        <w:t>ses actes</w:t>
      </w:r>
      <w:r w:rsidR="23178557" w:rsidRPr="00A627C4">
        <w:rPr>
          <w:rFonts w:eastAsia="Times New Roman"/>
          <w:spacing w:val="-5"/>
        </w:rPr>
        <w:t xml:space="preserve"> sont d’expression politique légitime</w:t>
      </w:r>
      <w:r w:rsidR="4F295B44" w:rsidRPr="00A627C4">
        <w:rPr>
          <w:rFonts w:eastAsia="Times New Roman"/>
          <w:spacing w:val="-5"/>
        </w:rPr>
        <w:t>.</w:t>
      </w:r>
      <w:r w:rsidR="681C5059" w:rsidRPr="00A627C4">
        <w:rPr>
          <w:rFonts w:eastAsia="Times New Roman"/>
          <w:spacing w:val="-5"/>
        </w:rPr>
        <w:t xml:space="preserve"> </w:t>
      </w:r>
    </w:p>
    <w:p w14:paraId="6BF68AFD" w14:textId="3EDA9338" w:rsidR="000C1DB5" w:rsidRPr="000C1DB5" w:rsidRDefault="00C14E25" w:rsidP="000C54F9">
      <w:pPr>
        <w:pStyle w:val="ListParagraph"/>
        <w:numPr>
          <w:ilvl w:val="0"/>
          <w:numId w:val="7"/>
        </w:numPr>
        <w:spacing w:before="240" w:after="240" w:line="480" w:lineRule="auto"/>
        <w:ind w:left="0" w:firstLine="357"/>
        <w:jc w:val="both"/>
        <w:rPr>
          <w:rFonts w:eastAsia="Times New Roman"/>
          <w:spacing w:val="-5"/>
        </w:rPr>
      </w:pPr>
      <w:r>
        <w:rPr>
          <w:rFonts w:eastAsia="Times New Roman"/>
        </w:rPr>
        <w:t>Par ailleurs, c</w:t>
      </w:r>
      <w:r w:rsidR="44CEFD16" w:rsidRPr="1F9CB737">
        <w:rPr>
          <w:rFonts w:eastAsia="Times New Roman"/>
        </w:rPr>
        <w:t>onformément à l’article</w:t>
      </w:r>
      <w:r w:rsidR="00644B0D">
        <w:rPr>
          <w:rFonts w:eastAsia="Times New Roman"/>
        </w:rPr>
        <w:t> </w:t>
      </w:r>
      <w:r w:rsidR="44CEFD16" w:rsidRPr="1F9CB737">
        <w:rPr>
          <w:rFonts w:eastAsia="Times New Roman"/>
        </w:rPr>
        <w:t>8.1</w:t>
      </w:r>
      <w:r w:rsidR="00644B0D">
        <w:rPr>
          <w:rFonts w:eastAsia="Times New Roman"/>
        </w:rPr>
        <w:t> </w:t>
      </w:r>
      <w:r w:rsidR="44CEFD16" w:rsidRPr="1F9CB737">
        <w:rPr>
          <w:rFonts w:eastAsia="Times New Roman"/>
        </w:rPr>
        <w:t xml:space="preserve">d) du </w:t>
      </w:r>
      <w:r w:rsidR="44CEFD16" w:rsidRPr="0AAADEAD">
        <w:rPr>
          <w:rFonts w:eastAsia="Times New Roman"/>
          <w:i/>
          <w:iCs/>
        </w:rPr>
        <w:t>Pacte international relatif aux droits économiques, sociaux et culturels</w:t>
      </w:r>
      <w:r w:rsidR="44CEFD16" w:rsidRPr="4D21FB42">
        <w:rPr>
          <w:rStyle w:val="FootnoteReference"/>
          <w:rFonts w:eastAsia="Times New Roman"/>
        </w:rPr>
        <w:footnoteReference w:id="4"/>
      </w:r>
      <w:r w:rsidR="7B51AB1B" w:rsidRPr="6F10AC13">
        <w:rPr>
          <w:rFonts w:eastAsia="Times New Roman"/>
        </w:rPr>
        <w:t xml:space="preserve"> (ci-après «</w:t>
      </w:r>
      <w:r w:rsidR="00644B0D">
        <w:rPr>
          <w:rFonts w:eastAsia="Times New Roman"/>
        </w:rPr>
        <w:t> </w:t>
      </w:r>
      <w:r w:rsidR="00570254" w:rsidRPr="6F10AC13">
        <w:rPr>
          <w:rFonts w:eastAsia="Times New Roman"/>
        </w:rPr>
        <w:t>Pacte</w:t>
      </w:r>
      <w:r w:rsidR="00644B0D">
        <w:rPr>
          <w:rFonts w:eastAsia="Times New Roman"/>
        </w:rPr>
        <w:t> </w:t>
      </w:r>
      <w:r w:rsidR="00570254" w:rsidRPr="6F10AC13">
        <w:rPr>
          <w:rFonts w:eastAsia="Times New Roman"/>
        </w:rPr>
        <w:t>»</w:t>
      </w:r>
      <w:r w:rsidR="7B51AB1B" w:rsidRPr="6F10AC13">
        <w:rPr>
          <w:rFonts w:eastAsia="Times New Roman"/>
        </w:rPr>
        <w:t>)</w:t>
      </w:r>
      <w:r w:rsidR="619E9393" w:rsidRPr="6F10AC13">
        <w:rPr>
          <w:rFonts w:eastAsia="Times New Roman"/>
        </w:rPr>
        <w:t>,</w:t>
      </w:r>
      <w:r w:rsidR="44CEFD16" w:rsidRPr="6F10AC13">
        <w:rPr>
          <w:rFonts w:eastAsia="Times New Roman"/>
        </w:rPr>
        <w:t xml:space="preserve"> le Canada reconnait le droit </w:t>
      </w:r>
      <w:r w:rsidR="5332B8D3" w:rsidRPr="6F10AC13">
        <w:rPr>
          <w:rFonts w:eastAsia="Times New Roman"/>
        </w:rPr>
        <w:t>grève</w:t>
      </w:r>
      <w:r w:rsidR="5332B8D3" w:rsidRPr="6159D3B7">
        <w:rPr>
          <w:rFonts w:eastAsia="Times New Roman"/>
        </w:rPr>
        <w:t xml:space="preserve"> et les </w:t>
      </w:r>
      <w:r w:rsidR="5332B8D3" w:rsidRPr="0AAADEAD">
        <w:rPr>
          <w:rFonts w:eastAsia="Times New Roman"/>
          <w:i/>
          <w:iCs/>
        </w:rPr>
        <w:t>hartals</w:t>
      </w:r>
      <w:r w:rsidR="5332B8D3" w:rsidRPr="6159D3B7">
        <w:rPr>
          <w:rFonts w:eastAsia="Times New Roman"/>
        </w:rPr>
        <w:t xml:space="preserve"> sont </w:t>
      </w:r>
      <w:r w:rsidR="7AA21EE6" w:rsidRPr="6159D3B7">
        <w:rPr>
          <w:rFonts w:eastAsia="Times New Roman"/>
        </w:rPr>
        <w:t xml:space="preserve">des </w:t>
      </w:r>
      <w:r w:rsidR="7AA21EE6" w:rsidRPr="06FDD74E">
        <w:rPr>
          <w:rFonts w:eastAsia="Times New Roman"/>
        </w:rPr>
        <w:t xml:space="preserve">grèves. </w:t>
      </w:r>
    </w:p>
    <w:p w14:paraId="4C55C65A" w14:textId="26C75480" w:rsidR="000C54F9" w:rsidRPr="000C54F9" w:rsidRDefault="009A3D3A" w:rsidP="000C54F9">
      <w:pPr>
        <w:pStyle w:val="ListParagraph"/>
        <w:numPr>
          <w:ilvl w:val="0"/>
          <w:numId w:val="7"/>
        </w:numPr>
        <w:spacing w:before="240" w:after="240" w:line="480" w:lineRule="auto"/>
        <w:ind w:left="0" w:firstLine="357"/>
        <w:jc w:val="both"/>
        <w:rPr>
          <w:rFonts w:eastAsia="Times New Roman"/>
          <w:spacing w:val="-5"/>
        </w:rPr>
      </w:pPr>
      <w:r w:rsidRPr="00A627C4">
        <w:rPr>
          <w:rFonts w:eastAsia="Times New Roman"/>
          <w:spacing w:val="-5"/>
        </w:rPr>
        <w:t xml:space="preserve">Quant à la seconde question, </w:t>
      </w:r>
      <w:r w:rsidR="00F02CB5">
        <w:rPr>
          <w:rFonts w:eastAsia="Times New Roman"/>
          <w:spacing w:val="-5"/>
        </w:rPr>
        <w:t xml:space="preserve">c’est à bon droit que la juge Jagger a déterminé que </w:t>
      </w:r>
      <w:r w:rsidR="00120110">
        <w:rPr>
          <w:rFonts w:eastAsia="Times New Roman"/>
          <w:spacing w:val="-5"/>
        </w:rPr>
        <w:t>le demandeur</w:t>
      </w:r>
      <w:r w:rsidR="00F02CB5">
        <w:rPr>
          <w:rFonts w:eastAsia="Times New Roman"/>
          <w:spacing w:val="-5"/>
        </w:rPr>
        <w:t xml:space="preserve"> ne satisfait pas aux critères d’appartenance de l’alinéa</w:t>
      </w:r>
      <w:r w:rsidR="00644B0D">
        <w:rPr>
          <w:rFonts w:eastAsia="Times New Roman"/>
          <w:spacing w:val="-5"/>
        </w:rPr>
        <w:t> </w:t>
      </w:r>
      <w:r w:rsidR="00F02CB5">
        <w:rPr>
          <w:rFonts w:eastAsia="Times New Roman"/>
          <w:spacing w:val="-5"/>
        </w:rPr>
        <w:t>34</w:t>
      </w:r>
      <w:r w:rsidR="00644B0D">
        <w:rPr>
          <w:rFonts w:eastAsia="Times New Roman"/>
          <w:spacing w:val="-5"/>
        </w:rPr>
        <w:t xml:space="preserve"> </w:t>
      </w:r>
      <w:r w:rsidR="00F02CB5">
        <w:rPr>
          <w:rFonts w:eastAsia="Times New Roman"/>
          <w:spacing w:val="-5"/>
        </w:rPr>
        <w:t>(1) f) de la LIPR entre 2011 et novembre 2013, et qu’il a soulevé la défense de contrainte avec succès pour la période de décembre 2013 à février 2014. L’appartenance, qui doit être interprétée de façon intégrée avec la qualification de l’organisation comme visée par l’alinéa 34</w:t>
      </w:r>
      <w:r w:rsidR="00644B0D">
        <w:rPr>
          <w:rFonts w:eastAsia="Times New Roman"/>
          <w:spacing w:val="-5"/>
        </w:rPr>
        <w:t xml:space="preserve"> </w:t>
      </w:r>
      <w:r w:rsidR="00F02CB5">
        <w:rPr>
          <w:rFonts w:eastAsia="Times New Roman"/>
          <w:spacing w:val="-5"/>
        </w:rPr>
        <w:t>(1) b) de la LIPR, nécessitait que le demandeur soit membre intentionnellement, et que sa participation soit significative à l’atteinte des buts de l’organisation, entre autres.</w:t>
      </w:r>
      <w:r w:rsidR="000C54F9" w:rsidRPr="000C54F9">
        <w:rPr>
          <w:rFonts w:eastAsia="Times New Roman"/>
          <w:spacing w:val="-5"/>
        </w:rPr>
        <w:t> </w:t>
      </w:r>
    </w:p>
    <w:p w14:paraId="00A932AC" w14:textId="112942AF" w:rsidR="009A3D3A" w:rsidRPr="001F7001" w:rsidRDefault="00F02CB5" w:rsidP="00FC7221">
      <w:pPr>
        <w:pStyle w:val="ListParagraph"/>
        <w:numPr>
          <w:ilvl w:val="0"/>
          <w:numId w:val="7"/>
        </w:numPr>
        <w:spacing w:before="240" w:after="240" w:line="480" w:lineRule="auto"/>
        <w:ind w:left="0" w:firstLine="357"/>
        <w:jc w:val="both"/>
        <w:rPr>
          <w:rFonts w:eastAsia="Times New Roman"/>
          <w:spacing w:val="-5"/>
        </w:rPr>
      </w:pPr>
      <w:r w:rsidRPr="001F7001">
        <w:rPr>
          <w:rFonts w:eastAsia="Times New Roman"/>
          <w:spacing w:val="-5"/>
        </w:rPr>
        <w:t xml:space="preserve"> </w:t>
      </w:r>
      <w:r w:rsidR="58873D83" w:rsidRPr="001F7001">
        <w:rPr>
          <w:color w:val="000000" w:themeColor="text1"/>
        </w:rPr>
        <w:t>En effet, la juge Jagger conclu à bon droit que la notion de contrainte du droit criminel peut être soulevée à l’application de l’alinéa</w:t>
      </w:r>
      <w:r w:rsidR="00644B0D">
        <w:rPr>
          <w:color w:val="000000" w:themeColor="text1"/>
        </w:rPr>
        <w:t> </w:t>
      </w:r>
      <w:r w:rsidR="58873D83" w:rsidRPr="001F7001">
        <w:rPr>
          <w:color w:val="000000" w:themeColor="text1"/>
        </w:rPr>
        <w:t>34</w:t>
      </w:r>
      <w:r w:rsidR="00644B0D">
        <w:rPr>
          <w:color w:val="000000" w:themeColor="text1"/>
        </w:rPr>
        <w:t xml:space="preserve"> </w:t>
      </w:r>
      <w:r w:rsidR="58873D83" w:rsidRPr="001F7001">
        <w:rPr>
          <w:color w:val="000000" w:themeColor="text1"/>
        </w:rPr>
        <w:t>(1)</w:t>
      </w:r>
      <w:r w:rsidR="00644B0D">
        <w:rPr>
          <w:color w:val="000000" w:themeColor="text1"/>
        </w:rPr>
        <w:t xml:space="preserve"> </w:t>
      </w:r>
      <w:r w:rsidR="58873D83" w:rsidRPr="001F7001">
        <w:rPr>
          <w:color w:val="000000" w:themeColor="text1"/>
        </w:rPr>
        <w:t>f) de la LIPR.</w:t>
      </w:r>
      <w:r w:rsidR="00262D41">
        <w:rPr>
          <w:color w:val="000000" w:themeColor="text1"/>
        </w:rPr>
        <w:t xml:space="preserve"> Non seulement est-ce </w:t>
      </w:r>
      <w:r w:rsidR="00576006">
        <w:rPr>
          <w:color w:val="000000" w:themeColor="text1"/>
        </w:rPr>
        <w:t xml:space="preserve">en adéquation avec le principe </w:t>
      </w:r>
      <w:r w:rsidR="00963755">
        <w:rPr>
          <w:color w:val="000000" w:themeColor="text1"/>
        </w:rPr>
        <w:t xml:space="preserve">de droit criminel selon lequel on ne peut être tenu responsable d’un acte </w:t>
      </w:r>
      <w:r w:rsidR="00D84F82">
        <w:rPr>
          <w:color w:val="000000" w:themeColor="text1"/>
        </w:rPr>
        <w:t>commis involontairement</w:t>
      </w:r>
      <w:r w:rsidR="008F3AD2">
        <w:rPr>
          <w:color w:val="000000" w:themeColor="text1"/>
        </w:rPr>
        <w:t>,</w:t>
      </w:r>
      <w:r w:rsidR="00756046">
        <w:rPr>
          <w:color w:val="000000" w:themeColor="text1"/>
        </w:rPr>
        <w:t xml:space="preserve"> </w:t>
      </w:r>
      <w:r w:rsidR="008D695E">
        <w:rPr>
          <w:color w:val="000000" w:themeColor="text1"/>
        </w:rPr>
        <w:t xml:space="preserve">c’est </w:t>
      </w:r>
      <w:r w:rsidR="00756046">
        <w:rPr>
          <w:color w:val="000000" w:themeColor="text1"/>
        </w:rPr>
        <w:t>également l’interprétation retenue par la cour à l’examen des alin</w:t>
      </w:r>
      <w:r w:rsidR="008B3D60">
        <w:rPr>
          <w:color w:val="000000" w:themeColor="text1"/>
        </w:rPr>
        <w:t>éas du paragraphe</w:t>
      </w:r>
      <w:r w:rsidR="00644B0D">
        <w:rPr>
          <w:color w:val="000000" w:themeColor="text1"/>
        </w:rPr>
        <w:t> </w:t>
      </w:r>
      <w:r w:rsidR="008B3D60">
        <w:rPr>
          <w:color w:val="000000" w:themeColor="text1"/>
        </w:rPr>
        <w:t>34</w:t>
      </w:r>
      <w:r w:rsidR="00644B0D">
        <w:rPr>
          <w:color w:val="000000" w:themeColor="text1"/>
        </w:rPr>
        <w:t xml:space="preserve"> </w:t>
      </w:r>
      <w:r w:rsidR="008B3D60">
        <w:rPr>
          <w:color w:val="000000" w:themeColor="text1"/>
        </w:rPr>
        <w:t>(1) de la LIPR</w:t>
      </w:r>
      <w:r w:rsidR="00F75257">
        <w:rPr>
          <w:color w:val="000000" w:themeColor="text1"/>
        </w:rPr>
        <w:t>. L’appartenance et la contrainte sont interreliées.</w:t>
      </w:r>
    </w:p>
    <w:p w14:paraId="56ED9116" w14:textId="76EFDDE8" w:rsidR="009A3D3A" w:rsidRPr="00A627C4" w:rsidRDefault="42C8E153" w:rsidP="626E3FC3">
      <w:pPr>
        <w:pStyle w:val="ListParagraph"/>
        <w:numPr>
          <w:ilvl w:val="0"/>
          <w:numId w:val="7"/>
        </w:numPr>
        <w:spacing w:line="480" w:lineRule="auto"/>
        <w:ind w:left="0" w:firstLine="357"/>
        <w:jc w:val="both"/>
        <w:rPr>
          <w:rFonts w:eastAsia="Times New Roman"/>
          <w:color w:val="000000" w:themeColor="text1"/>
        </w:rPr>
      </w:pPr>
      <w:r w:rsidRPr="626E3FC3">
        <w:rPr>
          <w:rFonts w:eastAsia="Times New Roman"/>
          <w:color w:val="000000" w:themeColor="text1"/>
        </w:rPr>
        <w:t>Entre 2011 et novembre 2013, M.</w:t>
      </w:r>
      <w:r w:rsidR="00644B0D">
        <w:rPr>
          <w:rFonts w:eastAsia="Times New Roman"/>
          <w:color w:val="000000" w:themeColor="text1"/>
        </w:rPr>
        <w:t> </w:t>
      </w:r>
      <w:r w:rsidRPr="626E3FC3">
        <w:rPr>
          <w:rFonts w:eastAsia="Times New Roman"/>
          <w:color w:val="000000" w:themeColor="text1"/>
        </w:rPr>
        <w:t>Chowdhury n’avait pas un degré de participation assez élevé au sein du PNB pour être considéré comme un membre selon les critères d</w:t>
      </w:r>
      <w:r w:rsidR="00644B0D">
        <w:rPr>
          <w:rFonts w:eastAsia="Times New Roman"/>
          <w:color w:val="000000" w:themeColor="text1"/>
        </w:rPr>
        <w:t>’</w:t>
      </w:r>
      <w:r w:rsidRPr="626E3FC3">
        <w:rPr>
          <w:rFonts w:eastAsia="Times New Roman"/>
          <w:color w:val="000000" w:themeColor="text1"/>
        </w:rPr>
        <w:t>appartenance de l’alinéa</w:t>
      </w:r>
      <w:r w:rsidR="00644B0D">
        <w:rPr>
          <w:rFonts w:eastAsia="Times New Roman"/>
          <w:color w:val="000000" w:themeColor="text1"/>
        </w:rPr>
        <w:t> </w:t>
      </w:r>
      <w:r w:rsidRPr="626E3FC3">
        <w:rPr>
          <w:rFonts w:eastAsia="Times New Roman"/>
          <w:color w:val="000000" w:themeColor="text1"/>
        </w:rPr>
        <w:t>34</w:t>
      </w:r>
      <w:r w:rsidR="00644B0D">
        <w:rPr>
          <w:rFonts w:eastAsia="Times New Roman"/>
          <w:color w:val="000000" w:themeColor="text1"/>
        </w:rPr>
        <w:t xml:space="preserve"> </w:t>
      </w:r>
      <w:r w:rsidRPr="626E3FC3">
        <w:rPr>
          <w:rFonts w:eastAsia="Times New Roman"/>
          <w:color w:val="000000" w:themeColor="text1"/>
        </w:rPr>
        <w:t>(1) f) de la LIPR</w:t>
      </w:r>
      <w:r w:rsidR="00915C18">
        <w:rPr>
          <w:rFonts w:eastAsia="Times New Roman"/>
          <w:color w:val="000000" w:themeColor="text1"/>
        </w:rPr>
        <w:t xml:space="preserve">, </w:t>
      </w:r>
      <w:r w:rsidRPr="626E3FC3">
        <w:rPr>
          <w:rFonts w:eastAsia="Times New Roman"/>
          <w:color w:val="000000" w:themeColor="text1"/>
        </w:rPr>
        <w:t xml:space="preserve">donc la défense de contrainte n’est pas pertinente durant cette période. </w:t>
      </w:r>
    </w:p>
    <w:p w14:paraId="7CFACC3C" w14:textId="4821EEC0" w:rsidR="009A3D3A" w:rsidRPr="00A627C4" w:rsidRDefault="42C8E153" w:rsidP="626E3FC3">
      <w:pPr>
        <w:pStyle w:val="ListParagraph"/>
        <w:numPr>
          <w:ilvl w:val="0"/>
          <w:numId w:val="7"/>
        </w:numPr>
        <w:spacing w:line="480" w:lineRule="auto"/>
        <w:ind w:left="0" w:firstLine="357"/>
        <w:jc w:val="both"/>
        <w:rPr>
          <w:rFonts w:eastAsia="Times New Roman"/>
          <w:color w:val="000000" w:themeColor="text1"/>
        </w:rPr>
      </w:pPr>
      <w:r w:rsidRPr="626E3FC3">
        <w:rPr>
          <w:rFonts w:eastAsia="Times New Roman"/>
          <w:color w:val="000000" w:themeColor="text1"/>
        </w:rPr>
        <w:t>En décembre 2013 M.</w:t>
      </w:r>
      <w:r w:rsidR="00644B0D">
        <w:rPr>
          <w:rFonts w:eastAsia="Times New Roman"/>
          <w:color w:val="000000" w:themeColor="text1"/>
        </w:rPr>
        <w:t> </w:t>
      </w:r>
      <w:r w:rsidRPr="626E3FC3">
        <w:rPr>
          <w:rFonts w:eastAsia="Times New Roman"/>
          <w:color w:val="000000" w:themeColor="text1"/>
        </w:rPr>
        <w:t>Chowdhury est devenu</w:t>
      </w:r>
      <w:r w:rsidR="00304F4A">
        <w:rPr>
          <w:rFonts w:eastAsia="Times New Roman"/>
          <w:color w:val="000000" w:themeColor="text1"/>
        </w:rPr>
        <w:t xml:space="preserve"> </w:t>
      </w:r>
      <w:r w:rsidRPr="626E3FC3">
        <w:rPr>
          <w:rFonts w:eastAsia="Times New Roman"/>
          <w:color w:val="000000" w:themeColor="text1"/>
        </w:rPr>
        <w:t>membre officiel du PNB</w:t>
      </w:r>
      <w:r w:rsidR="00246EB0">
        <w:rPr>
          <w:rFonts w:eastAsia="Times New Roman"/>
          <w:color w:val="000000" w:themeColor="text1"/>
        </w:rPr>
        <w:t xml:space="preserve"> et l’est resté jusqu’en février 2014</w:t>
      </w:r>
      <w:r w:rsidRPr="626E3FC3">
        <w:rPr>
          <w:rFonts w:eastAsia="Times New Roman"/>
          <w:color w:val="000000" w:themeColor="text1"/>
        </w:rPr>
        <w:t xml:space="preserve"> suite à des menaces. La défense de contrainte est pertinente </w:t>
      </w:r>
      <w:r w:rsidR="007B6CEC">
        <w:rPr>
          <w:rFonts w:eastAsia="Times New Roman"/>
          <w:color w:val="000000" w:themeColor="text1"/>
        </w:rPr>
        <w:t>durant cette période</w:t>
      </w:r>
      <w:r w:rsidRPr="626E3FC3">
        <w:rPr>
          <w:rFonts w:eastAsia="Times New Roman"/>
          <w:color w:val="000000" w:themeColor="text1"/>
        </w:rPr>
        <w:t>, car il y a un danger réel</w:t>
      </w:r>
      <w:r w:rsidR="007B6CEC">
        <w:rPr>
          <w:rFonts w:eastAsia="Times New Roman"/>
          <w:color w:val="000000" w:themeColor="text1"/>
        </w:rPr>
        <w:t> :</w:t>
      </w:r>
      <w:r w:rsidRPr="626E3FC3">
        <w:rPr>
          <w:rFonts w:eastAsia="Times New Roman"/>
          <w:color w:val="000000" w:themeColor="text1"/>
        </w:rPr>
        <w:t xml:space="preserve"> se faire persécuter à cause de son orientation sexuelle dans un pays présentant des sentiments homophobes.</w:t>
      </w:r>
      <w:r w:rsidR="00B05C68">
        <w:rPr>
          <w:rFonts w:eastAsia="Times New Roman"/>
          <w:color w:val="000000" w:themeColor="text1"/>
        </w:rPr>
        <w:t xml:space="preserve"> Sa participation n’était pas volontaire. </w:t>
      </w:r>
    </w:p>
    <w:p w14:paraId="47E32BC6" w14:textId="31F92101" w:rsidR="009A3D3A" w:rsidRPr="00641CBF" w:rsidRDefault="74D00DA9" w:rsidP="00B05C68">
      <w:pPr>
        <w:pStyle w:val="ListParagraph"/>
        <w:numPr>
          <w:ilvl w:val="0"/>
          <w:numId w:val="7"/>
        </w:numPr>
        <w:spacing w:line="480" w:lineRule="auto"/>
        <w:ind w:left="0" w:firstLine="357"/>
        <w:jc w:val="both"/>
        <w:rPr>
          <w:color w:val="000000" w:themeColor="text1"/>
        </w:rPr>
      </w:pPr>
      <w:r w:rsidRPr="3F8B8D2A">
        <w:rPr>
          <w:rFonts w:eastAsia="Times New Roman"/>
          <w:color w:val="000000" w:themeColor="text1"/>
        </w:rPr>
        <w:t>De plus, la défense de contrainte et la disposition</w:t>
      </w:r>
      <w:r w:rsidR="00644B0D">
        <w:rPr>
          <w:rFonts w:eastAsia="Times New Roman"/>
          <w:color w:val="000000" w:themeColor="text1"/>
        </w:rPr>
        <w:t> </w:t>
      </w:r>
      <w:r w:rsidRPr="3F8B8D2A">
        <w:rPr>
          <w:rFonts w:eastAsia="Times New Roman"/>
          <w:color w:val="000000" w:themeColor="text1"/>
        </w:rPr>
        <w:t>42.1 de la LIPR peuvent être invoquées ensemble. La disposition</w:t>
      </w:r>
      <w:r w:rsidR="00644B0D">
        <w:rPr>
          <w:rFonts w:eastAsia="Times New Roman"/>
          <w:color w:val="000000" w:themeColor="text1"/>
        </w:rPr>
        <w:t> </w:t>
      </w:r>
      <w:r w:rsidRPr="3F8B8D2A">
        <w:rPr>
          <w:rFonts w:eastAsia="Times New Roman"/>
          <w:color w:val="000000" w:themeColor="text1"/>
        </w:rPr>
        <w:t>42.1 de la LIPR prévoit une demande de dispense ministérielle afin que le demandeur soit admis au territoire et évite l’interdiction de territoire «</w:t>
      </w:r>
      <w:r w:rsidR="00644B0D">
        <w:rPr>
          <w:rFonts w:eastAsia="Times New Roman"/>
          <w:color w:val="000000" w:themeColor="text1"/>
        </w:rPr>
        <w:t> </w:t>
      </w:r>
      <w:r w:rsidRPr="3F8B8D2A">
        <w:rPr>
          <w:rFonts w:eastAsia="Times New Roman"/>
          <w:color w:val="000000" w:themeColor="text1"/>
        </w:rPr>
        <w:t>si celui-ci convainc que cela ne serait pas contraire à l’intérêt national</w:t>
      </w:r>
      <w:r w:rsidR="00644B0D">
        <w:rPr>
          <w:rFonts w:eastAsia="Times New Roman"/>
          <w:color w:val="000000" w:themeColor="text1"/>
        </w:rPr>
        <w:t> </w:t>
      </w:r>
      <w:r w:rsidRPr="3F8B8D2A">
        <w:rPr>
          <w:rFonts w:eastAsia="Times New Roman"/>
          <w:color w:val="000000" w:themeColor="text1"/>
        </w:rPr>
        <w:t>».</w:t>
      </w:r>
    </w:p>
    <w:p w14:paraId="58488C3C" w14:textId="77777777" w:rsidR="00172A86" w:rsidRPr="00A627C4" w:rsidRDefault="00C32E90">
      <w:pPr>
        <w:spacing w:before="240" w:after="240"/>
        <w:jc w:val="center"/>
        <w:rPr>
          <w:rFonts w:eastAsia="Times New Roman"/>
          <w:b/>
          <w:spacing w:val="-5"/>
          <w:u w:val="single"/>
        </w:rPr>
      </w:pPr>
      <w:r w:rsidRPr="00A627C4">
        <w:rPr>
          <w:rFonts w:eastAsia="Times New Roman"/>
          <w:b/>
          <w:spacing w:val="-5"/>
          <w:u w:val="single"/>
        </w:rPr>
        <w:t>PARTIE I - FAITS</w:t>
      </w:r>
    </w:p>
    <w:p w14:paraId="58488C40" w14:textId="021B172E" w:rsidR="00172A86" w:rsidRPr="00A627C4" w:rsidRDefault="00DE7CA2" w:rsidP="00B51673">
      <w:pPr>
        <w:pStyle w:val="ListParagraph"/>
        <w:numPr>
          <w:ilvl w:val="0"/>
          <w:numId w:val="7"/>
        </w:numPr>
        <w:spacing w:before="240" w:after="240" w:line="480" w:lineRule="auto"/>
        <w:ind w:left="0" w:firstLine="357"/>
        <w:jc w:val="both"/>
        <w:rPr>
          <w:rFonts w:eastAsia="Times New Roman"/>
          <w:spacing w:val="-5"/>
        </w:rPr>
      </w:pPr>
      <w:r w:rsidRPr="00A627C4">
        <w:rPr>
          <w:spacing w:val="-5"/>
        </w:rPr>
        <w:t>L’intimé, M.</w:t>
      </w:r>
      <w:r w:rsidR="00644B0D">
        <w:rPr>
          <w:spacing w:val="-5"/>
        </w:rPr>
        <w:t> </w:t>
      </w:r>
      <w:r w:rsidRPr="00A627C4">
        <w:rPr>
          <w:spacing w:val="-5"/>
        </w:rPr>
        <w:t>Chowdhury, est un citoyen du Bangladesh. Sa femme et son enfant, né le 15 janvier 2013, sont également citoyens du Bangladesh</w:t>
      </w:r>
      <w:r w:rsidR="005C54F8">
        <w:rPr>
          <w:spacing w:val="-5"/>
        </w:rPr>
        <w:t xml:space="preserve"> et y vivent</w:t>
      </w:r>
      <w:r w:rsidRPr="00A627C4">
        <w:rPr>
          <w:spacing w:val="-5"/>
        </w:rPr>
        <w:t>. M.</w:t>
      </w:r>
      <w:r w:rsidR="00644B0D">
        <w:rPr>
          <w:spacing w:val="-5"/>
        </w:rPr>
        <w:t> </w:t>
      </w:r>
      <w:r w:rsidRPr="00A627C4">
        <w:rPr>
          <w:spacing w:val="-5"/>
        </w:rPr>
        <w:t xml:space="preserve">Chowdhury n’affiche pas ouvertement son homosexualité en raison des normes et des contraintes sociales. </w:t>
      </w:r>
      <w:r w:rsidR="009D6B52" w:rsidRPr="00A627C4">
        <w:rPr>
          <w:spacing w:val="-5"/>
        </w:rPr>
        <w:t xml:space="preserve">Le Bangladesh est un pays musulman et une société présentant des sentiments homophobes. </w:t>
      </w:r>
      <w:r w:rsidR="00CC239D" w:rsidRPr="00A627C4">
        <w:rPr>
          <w:spacing w:val="-5"/>
        </w:rPr>
        <w:t>Sa femme n’est pas au courant, selon lui, qu’il a entretenu des relations homosexuelles.</w:t>
      </w:r>
      <w:r w:rsidR="004D62F3" w:rsidRPr="00A627C4">
        <w:rPr>
          <w:spacing w:val="-5"/>
        </w:rPr>
        <w:t xml:space="preserve"> L’intimé travaillait dans une organisation non gouvernementale luttant pour les droits des femmes lorsqu’il a quitté le Bangladesh pour les États-Unis au début du mois de février 2014. </w:t>
      </w:r>
      <w:r w:rsidR="007B72E2" w:rsidRPr="00A627C4">
        <w:rPr>
          <w:spacing w:val="-5"/>
        </w:rPr>
        <w:t>Il est ensuite venu au Canada où il a présenté, le 23 janvier 2016, une demande d’asile basée sur des menaces qu’il a reçues de la part d’intégristes musulmans en raison de son emploi.</w:t>
      </w:r>
      <w:r w:rsidR="00CE6439" w:rsidRPr="00A627C4">
        <w:rPr>
          <w:spacing w:val="-5"/>
        </w:rPr>
        <w:t xml:space="preserve"> Sa demande d’asile a été acceptée le 14 décembre 2017. Le 14 février 2018, M.</w:t>
      </w:r>
      <w:r w:rsidR="00644B0D">
        <w:rPr>
          <w:spacing w:val="-5"/>
        </w:rPr>
        <w:t> </w:t>
      </w:r>
      <w:r w:rsidR="00CE6439" w:rsidRPr="00A627C4">
        <w:rPr>
          <w:spacing w:val="-5"/>
        </w:rPr>
        <w:t>Chowdhury a fait une demande de résidence permanente pour lui</w:t>
      </w:r>
      <w:r w:rsidR="00F763B7" w:rsidRPr="00A627C4">
        <w:rPr>
          <w:spacing w:val="-5"/>
        </w:rPr>
        <w:t>,</w:t>
      </w:r>
      <w:r w:rsidR="00CE6439" w:rsidRPr="00A627C4">
        <w:rPr>
          <w:spacing w:val="-5"/>
        </w:rPr>
        <w:t xml:space="preserve"> sa femme et son fils. Le 15 juin 2019, il a reçu une lettre d’un agent principal lui annonçant la probabilité que sa demande soit refusée en raison d’une interdiction de territoire fondée sur les alinéas 34</w:t>
      </w:r>
      <w:r w:rsidR="00644B0D">
        <w:rPr>
          <w:spacing w:val="-5"/>
        </w:rPr>
        <w:t xml:space="preserve"> </w:t>
      </w:r>
      <w:r w:rsidR="00CE6439" w:rsidRPr="00A627C4">
        <w:rPr>
          <w:spacing w:val="-5"/>
        </w:rPr>
        <w:t>(1)</w:t>
      </w:r>
      <w:r w:rsidR="00644B0D">
        <w:rPr>
          <w:spacing w:val="-5"/>
        </w:rPr>
        <w:t xml:space="preserve"> </w:t>
      </w:r>
      <w:r w:rsidR="00CE6439" w:rsidRPr="00A627C4">
        <w:rPr>
          <w:spacing w:val="-5"/>
        </w:rPr>
        <w:t>b) et f) de la LIPR</w:t>
      </w:r>
      <w:r w:rsidR="00FE0035" w:rsidRPr="00A627C4">
        <w:rPr>
          <w:spacing w:val="-5"/>
        </w:rPr>
        <w:t xml:space="preserve"> en raison de ses affiliations au PNB</w:t>
      </w:r>
      <w:r w:rsidR="00CE6439" w:rsidRPr="00A627C4">
        <w:rPr>
          <w:spacing w:val="-5"/>
        </w:rPr>
        <w:t>. Il a été invité à présenter ses observations en accord avec les principes d’équité procédurale.</w:t>
      </w:r>
    </w:p>
    <w:p w14:paraId="53DF937D" w14:textId="6454E04E" w:rsidR="00F352E9" w:rsidRPr="00A627C4" w:rsidRDefault="00AC0391" w:rsidP="00B51673">
      <w:pPr>
        <w:pStyle w:val="ListParagraph"/>
        <w:numPr>
          <w:ilvl w:val="0"/>
          <w:numId w:val="7"/>
        </w:numPr>
        <w:spacing w:before="240" w:after="240" w:line="480" w:lineRule="auto"/>
        <w:ind w:left="0" w:firstLine="357"/>
        <w:jc w:val="both"/>
        <w:rPr>
          <w:rFonts w:eastAsia="Times New Roman"/>
          <w:spacing w:val="-5"/>
        </w:rPr>
      </w:pPr>
      <w:r w:rsidRPr="00A627C4">
        <w:rPr>
          <w:rFonts w:eastAsia="Times New Roman"/>
          <w:spacing w:val="-5"/>
        </w:rPr>
        <w:t>L’agent d’immigration A. Ali a déclaré M.</w:t>
      </w:r>
      <w:r w:rsidR="00644B0D">
        <w:rPr>
          <w:rFonts w:eastAsia="Times New Roman"/>
          <w:spacing w:val="-5"/>
        </w:rPr>
        <w:t> </w:t>
      </w:r>
      <w:r w:rsidRPr="00A627C4">
        <w:rPr>
          <w:rFonts w:eastAsia="Times New Roman"/>
          <w:spacing w:val="-5"/>
        </w:rPr>
        <w:t>Chowdhury interdit de territoire en vertu de</w:t>
      </w:r>
      <w:r w:rsidR="00C94440" w:rsidRPr="00A627C4">
        <w:rPr>
          <w:rFonts w:eastAsia="Times New Roman"/>
          <w:spacing w:val="-5"/>
        </w:rPr>
        <w:t xml:space="preserve">s </w:t>
      </w:r>
      <w:r w:rsidRPr="00A627C4">
        <w:rPr>
          <w:rFonts w:eastAsia="Times New Roman"/>
          <w:spacing w:val="-5"/>
        </w:rPr>
        <w:t>alinéa</w:t>
      </w:r>
      <w:r w:rsidR="00C94440" w:rsidRPr="00A627C4">
        <w:rPr>
          <w:rFonts w:eastAsia="Times New Roman"/>
          <w:spacing w:val="-5"/>
        </w:rPr>
        <w:t>s</w:t>
      </w:r>
      <w:r w:rsidRPr="00A627C4">
        <w:rPr>
          <w:rFonts w:eastAsia="Times New Roman"/>
          <w:spacing w:val="-5"/>
        </w:rPr>
        <w:t xml:space="preserve"> 34</w:t>
      </w:r>
      <w:r w:rsidR="00644B0D">
        <w:rPr>
          <w:rFonts w:eastAsia="Times New Roman"/>
          <w:spacing w:val="-5"/>
        </w:rPr>
        <w:t xml:space="preserve"> </w:t>
      </w:r>
      <w:r w:rsidRPr="00A627C4">
        <w:rPr>
          <w:rFonts w:eastAsia="Times New Roman"/>
          <w:spacing w:val="-5"/>
        </w:rPr>
        <w:t>(1)</w:t>
      </w:r>
      <w:r w:rsidR="00C94440" w:rsidRPr="00A627C4">
        <w:rPr>
          <w:rFonts w:eastAsia="Times New Roman"/>
          <w:spacing w:val="-5"/>
        </w:rPr>
        <w:t xml:space="preserve"> b) et </w:t>
      </w:r>
      <w:r w:rsidRPr="00A627C4">
        <w:rPr>
          <w:rFonts w:eastAsia="Times New Roman"/>
          <w:spacing w:val="-5"/>
        </w:rPr>
        <w:t xml:space="preserve">f) de la LIPR. La juge de première instance a </w:t>
      </w:r>
      <w:r w:rsidR="00644B0D">
        <w:rPr>
          <w:rFonts w:eastAsia="Times New Roman"/>
          <w:spacing w:val="-5"/>
        </w:rPr>
        <w:t>infirm</w:t>
      </w:r>
      <w:r w:rsidRPr="00A627C4">
        <w:rPr>
          <w:rFonts w:eastAsia="Times New Roman"/>
          <w:spacing w:val="-5"/>
        </w:rPr>
        <w:t>é la décision de l’agent et a certifié deux questions permettant le présent appel.</w:t>
      </w:r>
    </w:p>
    <w:p w14:paraId="096D3994" w14:textId="30932E0F" w:rsidR="009B2AE5" w:rsidRPr="00A627C4" w:rsidRDefault="009B2AE5" w:rsidP="00B51673">
      <w:pPr>
        <w:pStyle w:val="ListParagraph"/>
        <w:numPr>
          <w:ilvl w:val="0"/>
          <w:numId w:val="8"/>
        </w:numPr>
        <w:spacing w:before="240" w:after="480" w:line="240" w:lineRule="auto"/>
        <w:ind w:left="357" w:hanging="357"/>
        <w:jc w:val="both"/>
        <w:rPr>
          <w:rFonts w:eastAsia="Times New Roman"/>
          <w:b/>
          <w:bCs/>
          <w:spacing w:val="-5"/>
        </w:rPr>
      </w:pPr>
      <w:r w:rsidRPr="00A627C4">
        <w:rPr>
          <w:rFonts w:eastAsia="Times New Roman"/>
          <w:b/>
          <w:bCs/>
          <w:spacing w:val="-5"/>
        </w:rPr>
        <w:t>Les conclusions de l’agent d’immigration concernant le rôle de M. Chowdhury au sein du PNB</w:t>
      </w:r>
    </w:p>
    <w:p w14:paraId="195AC04E" w14:textId="77777777" w:rsidR="000763F9" w:rsidRPr="00A627C4" w:rsidRDefault="000763F9" w:rsidP="000763F9">
      <w:pPr>
        <w:pStyle w:val="ListParagraph"/>
        <w:spacing w:before="240" w:after="480" w:line="240" w:lineRule="auto"/>
        <w:ind w:left="357"/>
        <w:jc w:val="both"/>
        <w:rPr>
          <w:rFonts w:eastAsia="Times New Roman"/>
          <w:b/>
          <w:bCs/>
          <w:spacing w:val="-5"/>
        </w:rPr>
      </w:pPr>
    </w:p>
    <w:p w14:paraId="11603E42" w14:textId="056B7444" w:rsidR="009B2AE5" w:rsidRPr="00A627C4" w:rsidRDefault="00442D75" w:rsidP="00B51673">
      <w:pPr>
        <w:pStyle w:val="ListParagraph"/>
        <w:numPr>
          <w:ilvl w:val="0"/>
          <w:numId w:val="7"/>
        </w:numPr>
        <w:spacing w:before="240" w:after="240" w:line="480" w:lineRule="auto"/>
        <w:ind w:left="0" w:firstLine="357"/>
        <w:jc w:val="both"/>
        <w:rPr>
          <w:rFonts w:eastAsia="Times New Roman"/>
          <w:spacing w:val="-5"/>
        </w:rPr>
      </w:pPr>
      <w:r w:rsidRPr="00A627C4">
        <w:rPr>
          <w:rFonts w:eastAsia="Times New Roman"/>
          <w:spacing w:val="-5"/>
        </w:rPr>
        <w:t xml:space="preserve">Dans sa décision, l’agent Ali </w:t>
      </w:r>
      <w:r w:rsidR="005B7451" w:rsidRPr="00A627C4">
        <w:rPr>
          <w:rFonts w:eastAsia="Times New Roman"/>
          <w:spacing w:val="-5"/>
        </w:rPr>
        <w:t>a retenu que M.</w:t>
      </w:r>
      <w:r w:rsidR="00644B0D">
        <w:rPr>
          <w:rFonts w:eastAsia="Times New Roman"/>
          <w:spacing w:val="-5"/>
        </w:rPr>
        <w:t> </w:t>
      </w:r>
      <w:r w:rsidR="005B7451" w:rsidRPr="00A627C4">
        <w:rPr>
          <w:rFonts w:eastAsia="Times New Roman"/>
          <w:spacing w:val="-5"/>
        </w:rPr>
        <w:t xml:space="preserve">Chowdhury avait </w:t>
      </w:r>
      <w:r w:rsidR="00FB5568" w:rsidRPr="00A627C4">
        <w:rPr>
          <w:rFonts w:eastAsia="Times New Roman"/>
          <w:spacing w:val="-5"/>
        </w:rPr>
        <w:t>mentionné</w:t>
      </w:r>
      <w:r w:rsidR="00AC09F7" w:rsidRPr="00A627C4">
        <w:rPr>
          <w:rFonts w:eastAsia="Times New Roman"/>
          <w:spacing w:val="-5"/>
        </w:rPr>
        <w:t xml:space="preserve"> dans son formulaire FDA</w:t>
      </w:r>
      <w:r w:rsidR="00757568" w:rsidRPr="00A627C4">
        <w:rPr>
          <w:rFonts w:eastAsia="Times New Roman"/>
          <w:spacing w:val="-5"/>
        </w:rPr>
        <w:t xml:space="preserve"> </w:t>
      </w:r>
      <w:r w:rsidR="000B7430" w:rsidRPr="00A627C4">
        <w:rPr>
          <w:rFonts w:eastAsia="Times New Roman"/>
          <w:spacing w:val="-5"/>
        </w:rPr>
        <w:t>ainsi que dans sa demande de résidence permanente qu’il avait été affilié au PNB entre 2011 et novembre 2013</w:t>
      </w:r>
      <w:r w:rsidR="002D4F80" w:rsidRPr="00A627C4">
        <w:rPr>
          <w:rFonts w:eastAsia="Times New Roman"/>
          <w:spacing w:val="-5"/>
        </w:rPr>
        <w:t>. M.</w:t>
      </w:r>
      <w:r w:rsidR="00644B0D">
        <w:rPr>
          <w:rFonts w:eastAsia="Times New Roman"/>
          <w:spacing w:val="-5"/>
        </w:rPr>
        <w:t> </w:t>
      </w:r>
      <w:r w:rsidR="002D4F80" w:rsidRPr="00A627C4">
        <w:rPr>
          <w:rFonts w:eastAsia="Times New Roman"/>
          <w:spacing w:val="-5"/>
        </w:rPr>
        <w:t xml:space="preserve">Chowdhury aurait également </w:t>
      </w:r>
      <w:r w:rsidR="00A56A6A" w:rsidRPr="00A627C4">
        <w:rPr>
          <w:rFonts w:eastAsia="Times New Roman"/>
          <w:spacing w:val="-5"/>
        </w:rPr>
        <w:t>déclaré être un membre du PNB lors de</w:t>
      </w:r>
      <w:r w:rsidR="004800D0" w:rsidRPr="00A627C4">
        <w:rPr>
          <w:rFonts w:eastAsia="Times New Roman"/>
          <w:spacing w:val="-5"/>
        </w:rPr>
        <w:t xml:space="preserve"> deux</w:t>
      </w:r>
      <w:r w:rsidR="00A56A6A" w:rsidRPr="00A627C4">
        <w:rPr>
          <w:rFonts w:eastAsia="Times New Roman"/>
          <w:spacing w:val="-5"/>
        </w:rPr>
        <w:t xml:space="preserve"> </w:t>
      </w:r>
      <w:r w:rsidR="004800D0" w:rsidRPr="00A627C4">
        <w:rPr>
          <w:rFonts w:eastAsia="Times New Roman"/>
          <w:spacing w:val="-5"/>
        </w:rPr>
        <w:t xml:space="preserve">contrôles au point d’entrée, à deux dates différentes. </w:t>
      </w:r>
      <w:r w:rsidR="004D27EC" w:rsidRPr="00A627C4">
        <w:rPr>
          <w:spacing w:val="-5"/>
        </w:rPr>
        <w:t>Il a mentionné dans son témoignage devant la SPR</w:t>
      </w:r>
      <w:r w:rsidR="00FD4C0B">
        <w:rPr>
          <w:spacing w:val="-5"/>
        </w:rPr>
        <w:t xml:space="preserve"> </w:t>
      </w:r>
      <w:r w:rsidR="004D27EC" w:rsidRPr="00A627C4">
        <w:rPr>
          <w:spacing w:val="-5"/>
        </w:rPr>
        <w:t>qu’il s’était affilié au PNB en raison de sa conviction que le PNB avait l’intention de rétablir la démocratie et que la Ligue Awami (ci-après «</w:t>
      </w:r>
      <w:r w:rsidR="00644B0D">
        <w:rPr>
          <w:spacing w:val="-5"/>
        </w:rPr>
        <w:t> </w:t>
      </w:r>
      <w:r w:rsidR="004D27EC" w:rsidRPr="00A627C4">
        <w:rPr>
          <w:spacing w:val="-5"/>
        </w:rPr>
        <w:t>LA</w:t>
      </w:r>
      <w:r w:rsidR="00644B0D">
        <w:rPr>
          <w:spacing w:val="-5"/>
        </w:rPr>
        <w:t> </w:t>
      </w:r>
      <w:r w:rsidR="004D27EC" w:rsidRPr="00A627C4">
        <w:rPr>
          <w:spacing w:val="-5"/>
        </w:rPr>
        <w:t>») avait réprimé ces principes en essayant d’empêcher la tenue d’élections libres et démocratiques. M.</w:t>
      </w:r>
      <w:r w:rsidR="00644B0D">
        <w:rPr>
          <w:spacing w:val="-5"/>
        </w:rPr>
        <w:t> </w:t>
      </w:r>
      <w:r w:rsidR="004D27EC" w:rsidRPr="00A627C4">
        <w:rPr>
          <w:spacing w:val="-5"/>
        </w:rPr>
        <w:t xml:space="preserve">Chowdhury a aussi déclaré qu’il </w:t>
      </w:r>
      <w:r w:rsidR="00F2449C" w:rsidRPr="00A627C4">
        <w:rPr>
          <w:spacing w:val="-5"/>
        </w:rPr>
        <w:t>se consacrait</w:t>
      </w:r>
      <w:r w:rsidR="004D27EC" w:rsidRPr="00A627C4">
        <w:rPr>
          <w:spacing w:val="-5"/>
        </w:rPr>
        <w:t xml:space="preserve"> à des activités </w:t>
      </w:r>
      <w:r w:rsidR="00F2449C" w:rsidRPr="00A627C4">
        <w:rPr>
          <w:spacing w:val="-5"/>
        </w:rPr>
        <w:t xml:space="preserve">pour le </w:t>
      </w:r>
      <w:r w:rsidR="004D27EC" w:rsidRPr="00A627C4">
        <w:rPr>
          <w:spacing w:val="-5"/>
        </w:rPr>
        <w:t>PNB, telles qu’inciter les gens à voter pour le parti en distribuant des tracts sur le droit de vote</w:t>
      </w:r>
      <w:r w:rsidR="00AF4A66" w:rsidRPr="00A627C4">
        <w:rPr>
          <w:spacing w:val="-5"/>
        </w:rPr>
        <w:t xml:space="preserve">, ainsi qu’en </w:t>
      </w:r>
      <w:r w:rsidR="004D27EC" w:rsidRPr="00A627C4">
        <w:rPr>
          <w:spacing w:val="-5"/>
        </w:rPr>
        <w:t>inscrivant</w:t>
      </w:r>
      <w:r w:rsidR="00AF4A66" w:rsidRPr="00A627C4">
        <w:rPr>
          <w:spacing w:val="-5"/>
        </w:rPr>
        <w:t xml:space="preserve"> et en </w:t>
      </w:r>
      <w:r w:rsidR="004D27EC" w:rsidRPr="00A627C4">
        <w:rPr>
          <w:spacing w:val="-5"/>
        </w:rPr>
        <w:t>encourageant les gens à voter</w:t>
      </w:r>
      <w:r w:rsidR="004D27EC" w:rsidRPr="00A627C4">
        <w:rPr>
          <w:rStyle w:val="FootnoteReference"/>
          <w:spacing w:val="-5"/>
        </w:rPr>
        <w:footnoteReference w:id="5"/>
      </w:r>
      <w:r w:rsidR="007C1D09" w:rsidRPr="00A627C4">
        <w:rPr>
          <w:spacing w:val="-5"/>
        </w:rPr>
        <w:t xml:space="preserve">. </w:t>
      </w:r>
    </w:p>
    <w:p w14:paraId="5CAD253A" w14:textId="2A587931" w:rsidR="007C1D09" w:rsidRPr="00A627C4" w:rsidRDefault="37D84DB0" w:rsidP="00B51673">
      <w:pPr>
        <w:pStyle w:val="ListParagraph"/>
        <w:numPr>
          <w:ilvl w:val="0"/>
          <w:numId w:val="7"/>
        </w:numPr>
        <w:spacing w:before="240" w:after="240" w:line="480" w:lineRule="auto"/>
        <w:ind w:left="0" w:firstLine="357"/>
        <w:jc w:val="both"/>
        <w:rPr>
          <w:rFonts w:eastAsia="Times New Roman"/>
          <w:spacing w:val="-5"/>
        </w:rPr>
      </w:pPr>
      <w:r w:rsidRPr="00A627C4">
        <w:rPr>
          <w:rFonts w:eastAsia="Times New Roman"/>
          <w:spacing w:val="-5"/>
        </w:rPr>
        <w:t>M.</w:t>
      </w:r>
      <w:r w:rsidR="00644B0D">
        <w:rPr>
          <w:rFonts w:eastAsia="Times New Roman"/>
          <w:spacing w:val="-5"/>
        </w:rPr>
        <w:t> </w:t>
      </w:r>
      <w:r w:rsidRPr="00A627C4">
        <w:rPr>
          <w:rFonts w:eastAsia="Times New Roman"/>
          <w:spacing w:val="-5"/>
        </w:rPr>
        <w:t>Chowdhury a également admis, dans son formulaire FDA ainsi que dans sa demande de résidence permanente, avoir été membre du PNB à titre officiel entre décembre 2013 et février 2014.</w:t>
      </w:r>
      <w:r w:rsidR="500BF432" w:rsidRPr="00A627C4">
        <w:rPr>
          <w:color w:val="000000"/>
          <w:spacing w:val="-5"/>
          <w:sz w:val="23"/>
          <w:szCs w:val="23"/>
        </w:rPr>
        <w:t xml:space="preserve"> </w:t>
      </w:r>
      <w:r w:rsidR="500BF432" w:rsidRPr="00A627C4">
        <w:rPr>
          <w:rFonts w:eastAsia="Times New Roman"/>
          <w:spacing w:val="-5"/>
        </w:rPr>
        <w:t>M.</w:t>
      </w:r>
      <w:r w:rsidR="00644B0D">
        <w:rPr>
          <w:rFonts w:eastAsia="Times New Roman"/>
          <w:spacing w:val="-5"/>
        </w:rPr>
        <w:t> </w:t>
      </w:r>
      <w:r w:rsidR="500BF432" w:rsidRPr="00A627C4">
        <w:rPr>
          <w:rFonts w:eastAsia="Times New Roman"/>
          <w:spacing w:val="-5"/>
        </w:rPr>
        <w:t>Chowdhury a affirmé ne pas avoir participé aux préparatifs en vue des élections</w:t>
      </w:r>
      <w:r w:rsidR="3AB3BFAD" w:rsidRPr="00A627C4">
        <w:rPr>
          <w:rFonts w:eastAsia="Times New Roman"/>
          <w:spacing w:val="-5"/>
        </w:rPr>
        <w:t xml:space="preserve"> ni aux activités électorales le jour du scrutin. Il a toutefois reconnu avoir assisté aux réunions officielles du PNB. M.</w:t>
      </w:r>
      <w:r w:rsidR="00644B0D">
        <w:rPr>
          <w:rFonts w:eastAsia="Times New Roman"/>
          <w:spacing w:val="-5"/>
        </w:rPr>
        <w:t> </w:t>
      </w:r>
      <w:r w:rsidR="3AB3BFAD" w:rsidRPr="00A627C4">
        <w:rPr>
          <w:rFonts w:eastAsia="Times New Roman"/>
          <w:spacing w:val="-5"/>
        </w:rPr>
        <w:t>Chowdhury a allégué qu’il était devenu membre du PNB en raison de menaces de la part d’un membre haut placé du parti de révéler son orientation sexuelle à son épouse et d’ainsi perdre la garde de son fils</w:t>
      </w:r>
      <w:r w:rsidR="00EC4667" w:rsidRPr="00A627C4">
        <w:rPr>
          <w:rStyle w:val="FootnoteReference"/>
          <w:rFonts w:eastAsia="Times New Roman"/>
          <w:spacing w:val="-5"/>
        </w:rPr>
        <w:footnoteReference w:id="6"/>
      </w:r>
      <w:r w:rsidR="3AB3BFAD" w:rsidRPr="00A627C4">
        <w:rPr>
          <w:rFonts w:eastAsia="Times New Roman"/>
          <w:spacing w:val="-5"/>
        </w:rPr>
        <w:t xml:space="preserve">. </w:t>
      </w:r>
    </w:p>
    <w:p w14:paraId="6CB3CABC" w14:textId="2791C81E" w:rsidR="006602C6" w:rsidRPr="00A627C4" w:rsidRDefault="006602C6" w:rsidP="00B51673">
      <w:pPr>
        <w:pStyle w:val="ListParagraph"/>
        <w:numPr>
          <w:ilvl w:val="0"/>
          <w:numId w:val="7"/>
        </w:numPr>
        <w:spacing w:before="240" w:after="240" w:line="480" w:lineRule="auto"/>
        <w:ind w:left="0" w:firstLine="357"/>
        <w:jc w:val="both"/>
        <w:rPr>
          <w:rFonts w:eastAsia="Times New Roman"/>
          <w:spacing w:val="-5"/>
        </w:rPr>
      </w:pPr>
      <w:r w:rsidRPr="00A627C4">
        <w:rPr>
          <w:rFonts w:eastAsia="Times New Roman"/>
          <w:spacing w:val="-5"/>
        </w:rPr>
        <w:t>L’agent Ali</w:t>
      </w:r>
      <w:r w:rsidR="003750D8" w:rsidRPr="00A627C4">
        <w:rPr>
          <w:rFonts w:eastAsia="Times New Roman"/>
          <w:spacing w:val="-5"/>
        </w:rPr>
        <w:t xml:space="preserve">, </w:t>
      </w:r>
      <w:r w:rsidRPr="00A627C4">
        <w:rPr>
          <w:rFonts w:eastAsia="Times New Roman"/>
          <w:spacing w:val="-5"/>
        </w:rPr>
        <w:t>appliqu</w:t>
      </w:r>
      <w:r w:rsidR="003750D8" w:rsidRPr="00A627C4">
        <w:rPr>
          <w:rFonts w:eastAsia="Times New Roman"/>
          <w:spacing w:val="-5"/>
        </w:rPr>
        <w:t>ant</w:t>
      </w:r>
      <w:r w:rsidRPr="00A627C4">
        <w:rPr>
          <w:rFonts w:eastAsia="Times New Roman"/>
          <w:spacing w:val="-5"/>
        </w:rPr>
        <w:t xml:space="preserve"> la norme des «</w:t>
      </w:r>
      <w:r w:rsidR="00644B0D">
        <w:rPr>
          <w:rFonts w:eastAsia="Times New Roman"/>
          <w:spacing w:val="-5"/>
        </w:rPr>
        <w:t> </w:t>
      </w:r>
      <w:r w:rsidRPr="00A627C4">
        <w:rPr>
          <w:rFonts w:eastAsia="Times New Roman"/>
          <w:spacing w:val="-5"/>
        </w:rPr>
        <w:t>motifs raisonnables de croire</w:t>
      </w:r>
      <w:r w:rsidR="00644B0D">
        <w:rPr>
          <w:rFonts w:eastAsia="Times New Roman"/>
          <w:spacing w:val="-5"/>
        </w:rPr>
        <w:t> </w:t>
      </w:r>
      <w:r w:rsidRPr="00A627C4">
        <w:rPr>
          <w:rFonts w:eastAsia="Times New Roman"/>
          <w:spacing w:val="-5"/>
        </w:rPr>
        <w:t xml:space="preserve">» </w:t>
      </w:r>
      <w:r w:rsidR="00766067" w:rsidRPr="00A627C4">
        <w:rPr>
          <w:spacing w:val="-5"/>
        </w:rPr>
        <w:t>a déterminé que M.</w:t>
      </w:r>
      <w:r w:rsidR="00644B0D">
        <w:rPr>
          <w:spacing w:val="-5"/>
        </w:rPr>
        <w:t> </w:t>
      </w:r>
      <w:r w:rsidR="00766067" w:rsidRPr="00A627C4">
        <w:rPr>
          <w:spacing w:val="-5"/>
        </w:rPr>
        <w:t>Chowdhury était membre du PNB au sens de l’alinéa</w:t>
      </w:r>
      <w:r w:rsidR="00644B0D">
        <w:rPr>
          <w:spacing w:val="-5"/>
        </w:rPr>
        <w:t> </w:t>
      </w:r>
      <w:r w:rsidR="00766067" w:rsidRPr="00A627C4">
        <w:rPr>
          <w:spacing w:val="-5"/>
        </w:rPr>
        <w:t>34</w:t>
      </w:r>
      <w:r w:rsidR="00644B0D">
        <w:rPr>
          <w:spacing w:val="-5"/>
        </w:rPr>
        <w:t xml:space="preserve"> </w:t>
      </w:r>
      <w:r w:rsidR="00766067" w:rsidRPr="00A627C4">
        <w:rPr>
          <w:spacing w:val="-5"/>
        </w:rPr>
        <w:t>(1)</w:t>
      </w:r>
      <w:r w:rsidR="00644B0D">
        <w:rPr>
          <w:spacing w:val="-5"/>
        </w:rPr>
        <w:t xml:space="preserve"> </w:t>
      </w:r>
      <w:r w:rsidR="00766067" w:rsidRPr="00A627C4">
        <w:rPr>
          <w:spacing w:val="-5"/>
        </w:rPr>
        <w:t>f) de la LIPR de 2011 à février 2014. L’agent a considéré que la contrainte subie par M.</w:t>
      </w:r>
      <w:r w:rsidR="00644B0D">
        <w:rPr>
          <w:spacing w:val="-5"/>
        </w:rPr>
        <w:t> </w:t>
      </w:r>
      <w:r w:rsidR="00766067" w:rsidRPr="00A627C4">
        <w:rPr>
          <w:spacing w:val="-5"/>
        </w:rPr>
        <w:t>Chowdhury n’était pas pertinente.</w:t>
      </w:r>
      <w:r w:rsidR="001E201A" w:rsidRPr="00A627C4">
        <w:rPr>
          <w:spacing w:val="-5"/>
        </w:rPr>
        <w:t xml:space="preserve"> L’agent Ali a soutenu que </w:t>
      </w:r>
      <w:r w:rsidR="00C8204C" w:rsidRPr="00A627C4">
        <w:rPr>
          <w:spacing w:val="-5"/>
        </w:rPr>
        <w:t>l’intention n’était pas nécessaire pour conclure à l’existence d’un statut de membre</w:t>
      </w:r>
      <w:r w:rsidR="005246C5" w:rsidRPr="00A627C4">
        <w:rPr>
          <w:spacing w:val="-5"/>
        </w:rPr>
        <w:t xml:space="preserve">, comme le seul fait d’appartenir, officiellement ou non, à l’organisation suffisait. </w:t>
      </w:r>
      <w:r w:rsidR="00766067" w:rsidRPr="00A627C4">
        <w:rPr>
          <w:spacing w:val="-5"/>
        </w:rPr>
        <w:t>Il a s</w:t>
      </w:r>
      <w:r w:rsidR="0046220D" w:rsidRPr="00A627C4">
        <w:rPr>
          <w:spacing w:val="-5"/>
        </w:rPr>
        <w:t>oulevé</w:t>
      </w:r>
      <w:r w:rsidR="00766067" w:rsidRPr="00A627C4">
        <w:rPr>
          <w:spacing w:val="-5"/>
        </w:rPr>
        <w:t xml:space="preserve"> que la contrainte n’était de toute façon pas recevable pour la période de 2011 à 2013, </w:t>
      </w:r>
      <w:r w:rsidR="00852AFC" w:rsidRPr="00A627C4">
        <w:rPr>
          <w:spacing w:val="-5"/>
        </w:rPr>
        <w:t>comme</w:t>
      </w:r>
      <w:r w:rsidR="00766067" w:rsidRPr="00A627C4">
        <w:rPr>
          <w:spacing w:val="-5"/>
        </w:rPr>
        <w:t xml:space="preserve"> M.</w:t>
      </w:r>
      <w:r w:rsidR="00644B0D">
        <w:rPr>
          <w:spacing w:val="-5"/>
        </w:rPr>
        <w:t> </w:t>
      </w:r>
      <w:r w:rsidR="00766067" w:rsidRPr="00A627C4">
        <w:rPr>
          <w:spacing w:val="-5"/>
        </w:rPr>
        <w:t xml:space="preserve">Chowdhury s’était </w:t>
      </w:r>
      <w:r w:rsidR="00852AFC" w:rsidRPr="00A627C4">
        <w:rPr>
          <w:spacing w:val="-5"/>
        </w:rPr>
        <w:t xml:space="preserve">alors </w:t>
      </w:r>
      <w:r w:rsidR="00766067" w:rsidRPr="00A627C4">
        <w:rPr>
          <w:spacing w:val="-5"/>
        </w:rPr>
        <w:t>volontairement affilié au parti</w:t>
      </w:r>
      <w:r w:rsidR="000E622B" w:rsidRPr="00A627C4">
        <w:rPr>
          <w:rStyle w:val="FootnoteReference"/>
          <w:spacing w:val="-5"/>
        </w:rPr>
        <w:footnoteReference w:id="7"/>
      </w:r>
      <w:r w:rsidR="00510BEB" w:rsidRPr="00A627C4">
        <w:rPr>
          <w:spacing w:val="-5"/>
        </w:rPr>
        <w:t>.</w:t>
      </w:r>
    </w:p>
    <w:p w14:paraId="6F09B855" w14:textId="45E92141" w:rsidR="00510BEB" w:rsidRPr="00A627C4" w:rsidRDefault="00510BEB" w:rsidP="00B51673">
      <w:pPr>
        <w:pStyle w:val="ListParagraph"/>
        <w:numPr>
          <w:ilvl w:val="0"/>
          <w:numId w:val="8"/>
        </w:numPr>
        <w:spacing w:before="240" w:after="240" w:line="480" w:lineRule="auto"/>
        <w:jc w:val="both"/>
        <w:rPr>
          <w:rFonts w:eastAsia="Times New Roman"/>
          <w:b/>
          <w:bCs/>
          <w:spacing w:val="-5"/>
        </w:rPr>
      </w:pPr>
      <w:r w:rsidRPr="00A627C4">
        <w:rPr>
          <w:rFonts w:eastAsia="Times New Roman"/>
          <w:b/>
          <w:bCs/>
          <w:spacing w:val="-5"/>
        </w:rPr>
        <w:t xml:space="preserve">Les conclusions de l’agent </w:t>
      </w:r>
      <w:r w:rsidR="006674E4" w:rsidRPr="00A627C4">
        <w:rPr>
          <w:rFonts w:eastAsia="Times New Roman"/>
          <w:b/>
          <w:bCs/>
          <w:spacing w:val="-5"/>
        </w:rPr>
        <w:t xml:space="preserve">Ali </w:t>
      </w:r>
      <w:r w:rsidRPr="00A627C4">
        <w:rPr>
          <w:rFonts w:eastAsia="Times New Roman"/>
          <w:b/>
          <w:bCs/>
          <w:spacing w:val="-5"/>
        </w:rPr>
        <w:t xml:space="preserve">relativement au rôle du PNB dans les appels aux </w:t>
      </w:r>
      <w:r w:rsidRPr="00A627C4">
        <w:rPr>
          <w:rFonts w:eastAsia="Times New Roman"/>
          <w:b/>
          <w:bCs/>
          <w:i/>
          <w:iCs/>
          <w:spacing w:val="-5"/>
        </w:rPr>
        <w:t xml:space="preserve">hartals </w:t>
      </w:r>
    </w:p>
    <w:p w14:paraId="21D07AE3" w14:textId="6DA42454" w:rsidR="008D7EE6" w:rsidRPr="00A627C4" w:rsidRDefault="00925BF8" w:rsidP="00B51673">
      <w:pPr>
        <w:pStyle w:val="ListParagraph"/>
        <w:numPr>
          <w:ilvl w:val="0"/>
          <w:numId w:val="7"/>
        </w:numPr>
        <w:spacing w:before="240" w:after="240" w:line="480" w:lineRule="auto"/>
        <w:ind w:left="0" w:firstLine="357"/>
        <w:jc w:val="both"/>
        <w:rPr>
          <w:rFonts w:eastAsia="Times New Roman"/>
          <w:spacing w:val="-5"/>
        </w:rPr>
      </w:pPr>
      <w:r>
        <w:rPr>
          <w:rFonts w:eastAsia="Times New Roman"/>
          <w:spacing w:val="-5"/>
        </w:rPr>
        <w:t>L’agent</w:t>
      </w:r>
      <w:r w:rsidR="324D23C3" w:rsidRPr="00A627C4">
        <w:rPr>
          <w:rFonts w:eastAsia="Times New Roman"/>
          <w:spacing w:val="-5"/>
        </w:rPr>
        <w:t xml:space="preserve"> Ali a refusé d’accorder toute pertinence à la désignation du PNB comme parti politique </w:t>
      </w:r>
      <w:r>
        <w:rPr>
          <w:rFonts w:eastAsia="Times New Roman"/>
          <w:spacing w:val="-5"/>
        </w:rPr>
        <w:t>légitime</w:t>
      </w:r>
      <w:r w:rsidR="324D23C3" w:rsidRPr="00A627C4">
        <w:rPr>
          <w:rFonts w:eastAsia="Times New Roman"/>
          <w:spacing w:val="-5"/>
        </w:rPr>
        <w:t xml:space="preserve"> pour répondre à la question de savoir s’il s’agissait d’une organisation visée par l’alinéa 34</w:t>
      </w:r>
      <w:r w:rsidR="00644B0D">
        <w:rPr>
          <w:rFonts w:eastAsia="Times New Roman"/>
          <w:spacing w:val="-5"/>
        </w:rPr>
        <w:t xml:space="preserve"> </w:t>
      </w:r>
      <w:r w:rsidR="324D23C3" w:rsidRPr="00A627C4">
        <w:rPr>
          <w:rFonts w:eastAsia="Times New Roman"/>
          <w:spacing w:val="-5"/>
        </w:rPr>
        <w:t>(1)</w:t>
      </w:r>
      <w:r w:rsidR="00644B0D">
        <w:rPr>
          <w:rFonts w:eastAsia="Times New Roman"/>
          <w:spacing w:val="-5"/>
        </w:rPr>
        <w:t xml:space="preserve"> </w:t>
      </w:r>
      <w:r w:rsidR="324D23C3" w:rsidRPr="00A627C4">
        <w:rPr>
          <w:rFonts w:eastAsia="Times New Roman"/>
          <w:spacing w:val="-5"/>
        </w:rPr>
        <w:t>b) de la LIPR. Il en a conclu de même quant à la reconnaissance juridique nationale ou internationale d’une organisation, ainsi que le fait qu’une organisation ne soit pas désignée comme étant criminelle</w:t>
      </w:r>
      <w:r w:rsidR="00F52625" w:rsidRPr="00A627C4">
        <w:rPr>
          <w:rStyle w:val="FootnoteReference"/>
          <w:rFonts w:eastAsia="Times New Roman"/>
          <w:spacing w:val="-5"/>
        </w:rPr>
        <w:footnoteReference w:id="8"/>
      </w:r>
      <w:r w:rsidR="324D23C3" w:rsidRPr="00A627C4">
        <w:rPr>
          <w:rFonts w:eastAsia="Times New Roman"/>
          <w:spacing w:val="-5"/>
        </w:rPr>
        <w:t>.</w:t>
      </w:r>
    </w:p>
    <w:p w14:paraId="79E7A817" w14:textId="09378BB5" w:rsidR="00266C32" w:rsidRPr="00A627C4" w:rsidRDefault="00510BEB" w:rsidP="00B51673">
      <w:pPr>
        <w:pStyle w:val="ListParagraph"/>
        <w:numPr>
          <w:ilvl w:val="0"/>
          <w:numId w:val="7"/>
        </w:numPr>
        <w:spacing w:before="240" w:after="240" w:line="480" w:lineRule="auto"/>
        <w:ind w:left="0" w:firstLine="357"/>
        <w:jc w:val="both"/>
        <w:rPr>
          <w:rFonts w:eastAsia="Times New Roman"/>
          <w:spacing w:val="-5"/>
        </w:rPr>
      </w:pPr>
      <w:r w:rsidRPr="00A627C4">
        <w:rPr>
          <w:rFonts w:eastAsia="Times New Roman"/>
          <w:spacing w:val="-5"/>
        </w:rPr>
        <w:t xml:space="preserve">L’agent Ali </w:t>
      </w:r>
      <w:r w:rsidR="00AD36AC" w:rsidRPr="00A627C4">
        <w:rPr>
          <w:rFonts w:eastAsia="Times New Roman"/>
          <w:spacing w:val="-5"/>
        </w:rPr>
        <w:t xml:space="preserve">a défini les </w:t>
      </w:r>
      <w:r w:rsidR="00AD36AC" w:rsidRPr="1CB0A6BE">
        <w:rPr>
          <w:rFonts w:eastAsia="Times New Roman"/>
          <w:i/>
          <w:iCs/>
          <w:spacing w:val="-5"/>
        </w:rPr>
        <w:t xml:space="preserve">hartals </w:t>
      </w:r>
      <w:r w:rsidR="00AD36AC" w:rsidRPr="00A627C4">
        <w:rPr>
          <w:rFonts w:eastAsia="Times New Roman"/>
          <w:spacing w:val="-5"/>
        </w:rPr>
        <w:t>comme étant des «</w:t>
      </w:r>
      <w:r w:rsidR="00644B0D">
        <w:rPr>
          <w:rFonts w:eastAsia="Times New Roman"/>
          <w:spacing w:val="-5"/>
        </w:rPr>
        <w:t> </w:t>
      </w:r>
      <w:r w:rsidR="00AD36AC" w:rsidRPr="00A627C4">
        <w:rPr>
          <w:rFonts w:eastAsia="Times New Roman"/>
          <w:spacing w:val="-5"/>
        </w:rPr>
        <w:t>grèves et des protestations générales et nationales qui impliquent notamment l’interruption de la circulation et la fermeture des marchés, magasins et des lieux de travail pendant un certain temps</w:t>
      </w:r>
      <w:r w:rsidR="00644B0D">
        <w:rPr>
          <w:rFonts w:eastAsia="Times New Roman"/>
          <w:spacing w:val="-5"/>
        </w:rPr>
        <w:t> </w:t>
      </w:r>
      <w:r w:rsidR="00AD36AC" w:rsidRPr="00A627C4">
        <w:rPr>
          <w:rFonts w:eastAsia="Times New Roman"/>
          <w:spacing w:val="-5"/>
        </w:rPr>
        <w:t>»</w:t>
      </w:r>
      <w:r w:rsidR="00AD36AC" w:rsidRPr="00A627C4">
        <w:rPr>
          <w:rStyle w:val="FootnoteReference"/>
          <w:rFonts w:eastAsia="Times New Roman"/>
          <w:spacing w:val="-5"/>
        </w:rPr>
        <w:footnoteReference w:id="9"/>
      </w:r>
      <w:r w:rsidR="00AD36AC" w:rsidRPr="00A627C4">
        <w:rPr>
          <w:rFonts w:eastAsia="Times New Roman"/>
          <w:spacing w:val="-5"/>
        </w:rPr>
        <w:t xml:space="preserve">. </w:t>
      </w:r>
      <w:r w:rsidR="00182AA7" w:rsidRPr="00A627C4">
        <w:rPr>
          <w:rFonts w:eastAsia="Times New Roman"/>
          <w:spacing w:val="-5"/>
        </w:rPr>
        <w:t>Il a examiné</w:t>
      </w:r>
      <w:r w:rsidR="009721CC" w:rsidRPr="00A627C4">
        <w:rPr>
          <w:rFonts w:eastAsia="Times New Roman"/>
          <w:spacing w:val="-5"/>
        </w:rPr>
        <w:t xml:space="preserve"> et conclu que</w:t>
      </w:r>
      <w:r w:rsidR="00182AA7" w:rsidRPr="00A627C4">
        <w:rPr>
          <w:rFonts w:eastAsia="Times New Roman"/>
          <w:spacing w:val="-5"/>
        </w:rPr>
        <w:t xml:space="preserve"> les </w:t>
      </w:r>
      <w:r w:rsidR="00182AA7" w:rsidRPr="1CB0A6BE">
        <w:rPr>
          <w:rFonts w:eastAsia="Times New Roman"/>
          <w:i/>
          <w:iCs/>
          <w:spacing w:val="-5"/>
        </w:rPr>
        <w:t xml:space="preserve">hartals </w:t>
      </w:r>
      <w:r w:rsidR="00182AA7" w:rsidRPr="00A627C4">
        <w:rPr>
          <w:rFonts w:eastAsia="Times New Roman"/>
          <w:spacing w:val="-5"/>
        </w:rPr>
        <w:t>déclenchés par le PNB en 2010, 2012 et 2014</w:t>
      </w:r>
      <w:r w:rsidR="009721CC" w:rsidRPr="00A627C4">
        <w:rPr>
          <w:rFonts w:eastAsia="Times New Roman"/>
          <w:spacing w:val="-5"/>
        </w:rPr>
        <w:t xml:space="preserve"> </w:t>
      </w:r>
      <w:r w:rsidR="00182AA7" w:rsidRPr="00A627C4">
        <w:rPr>
          <w:rFonts w:eastAsia="Times New Roman"/>
          <w:spacing w:val="-5"/>
        </w:rPr>
        <w:t>étaient étroitement associés à de la violence</w:t>
      </w:r>
      <w:r w:rsidR="00182AA7" w:rsidRPr="00A627C4">
        <w:rPr>
          <w:rStyle w:val="FootnoteReference"/>
          <w:rFonts w:eastAsia="Times New Roman"/>
          <w:spacing w:val="-5"/>
        </w:rPr>
        <w:footnoteReference w:id="10"/>
      </w:r>
      <w:r w:rsidR="00182AA7" w:rsidRPr="00A627C4">
        <w:rPr>
          <w:rFonts w:eastAsia="Times New Roman"/>
          <w:spacing w:val="-5"/>
        </w:rPr>
        <w:t>.</w:t>
      </w:r>
      <w:r w:rsidR="00392051" w:rsidRPr="00A627C4">
        <w:rPr>
          <w:rFonts w:eastAsia="Times New Roman"/>
          <w:spacing w:val="-5"/>
        </w:rPr>
        <w:t xml:space="preserve"> Notamment, l’agent Ali a souligné que l’appel au </w:t>
      </w:r>
      <w:r w:rsidR="00392051" w:rsidRPr="1CB0A6BE">
        <w:rPr>
          <w:rFonts w:eastAsia="Times New Roman"/>
          <w:i/>
          <w:iCs/>
          <w:spacing w:val="-5"/>
        </w:rPr>
        <w:t xml:space="preserve">hartal </w:t>
      </w:r>
      <w:r w:rsidR="00392051" w:rsidRPr="00A627C4">
        <w:rPr>
          <w:rFonts w:eastAsia="Times New Roman"/>
          <w:spacing w:val="-5"/>
        </w:rPr>
        <w:t>du PNB lors de l’élection de 2014 visant à boycotter les élections a entraîné la mort de trois fonctionnaires électoraux</w:t>
      </w:r>
      <w:r w:rsidR="00392051" w:rsidRPr="00A627C4">
        <w:rPr>
          <w:rStyle w:val="FootnoteReference"/>
          <w:rFonts w:eastAsia="Times New Roman"/>
          <w:spacing w:val="-5"/>
        </w:rPr>
        <w:footnoteReference w:id="11"/>
      </w:r>
      <w:r w:rsidR="00392051" w:rsidRPr="00A627C4">
        <w:rPr>
          <w:rFonts w:eastAsia="Times New Roman"/>
          <w:spacing w:val="-5"/>
        </w:rPr>
        <w:t>.</w:t>
      </w:r>
    </w:p>
    <w:p w14:paraId="3EA91A07" w14:textId="67E17666" w:rsidR="0093130C" w:rsidRPr="00A627C4" w:rsidRDefault="00CD6A57" w:rsidP="00B51673">
      <w:pPr>
        <w:pStyle w:val="ListParagraph"/>
        <w:numPr>
          <w:ilvl w:val="0"/>
          <w:numId w:val="7"/>
        </w:numPr>
        <w:spacing w:before="240" w:after="240" w:line="480" w:lineRule="auto"/>
        <w:ind w:left="0" w:firstLine="357"/>
        <w:jc w:val="both"/>
        <w:rPr>
          <w:rFonts w:eastAsia="Times New Roman"/>
          <w:spacing w:val="-5"/>
        </w:rPr>
      </w:pPr>
      <w:r w:rsidRPr="00A627C4">
        <w:rPr>
          <w:rFonts w:eastAsia="Times New Roman"/>
          <w:spacing w:val="-5"/>
        </w:rPr>
        <w:t>L’agent Ali a également retenu qu’à</w:t>
      </w:r>
      <w:r w:rsidR="0093130C" w:rsidRPr="00A627C4">
        <w:rPr>
          <w:rFonts w:eastAsia="Times New Roman"/>
          <w:spacing w:val="-5"/>
        </w:rPr>
        <w:t xml:space="preserve"> la suite de sa défaite, le PNB a exigé la mise en place d’un gouvernement de transition neutre pour faciliter la tenue de nouvelles élections. Comme </w:t>
      </w:r>
      <w:r w:rsidR="0094388C" w:rsidRPr="00A627C4">
        <w:rPr>
          <w:rFonts w:eastAsia="Times New Roman"/>
          <w:spacing w:val="-5"/>
        </w:rPr>
        <w:t>la LA</w:t>
      </w:r>
      <w:r w:rsidR="0093130C" w:rsidRPr="00A627C4">
        <w:rPr>
          <w:rFonts w:eastAsia="Times New Roman"/>
          <w:spacing w:val="-5"/>
        </w:rPr>
        <w:t xml:space="preserve"> n’a pas accédé à cette demande, le PNB a lancé de nouveaux appels aux manifestations et aux barrages routiers, desquels sont survenus plusieurs </w:t>
      </w:r>
      <w:r w:rsidR="00A1674A" w:rsidRPr="00A627C4">
        <w:rPr>
          <w:rFonts w:eastAsia="Times New Roman"/>
          <w:spacing w:val="-5"/>
        </w:rPr>
        <w:t>actes de violence</w:t>
      </w:r>
      <w:r w:rsidR="00192AF0" w:rsidRPr="00A627C4">
        <w:rPr>
          <w:rStyle w:val="FootnoteReference"/>
          <w:rFonts w:eastAsia="Times New Roman"/>
          <w:spacing w:val="-5"/>
        </w:rPr>
        <w:footnoteReference w:id="12"/>
      </w:r>
      <w:r w:rsidR="0093130C" w:rsidRPr="00A627C4">
        <w:rPr>
          <w:rFonts w:eastAsia="Times New Roman"/>
          <w:spacing w:val="-5"/>
        </w:rPr>
        <w:t xml:space="preserve">. L’agent s’est également basé sur un article du </w:t>
      </w:r>
      <w:r w:rsidR="0093130C" w:rsidRPr="1CB0A6BE">
        <w:rPr>
          <w:rFonts w:eastAsia="Times New Roman"/>
          <w:i/>
          <w:iCs/>
          <w:spacing w:val="-5"/>
        </w:rPr>
        <w:t xml:space="preserve">Guardian </w:t>
      </w:r>
      <w:r w:rsidR="0093130C" w:rsidRPr="00A627C4">
        <w:rPr>
          <w:rFonts w:eastAsia="Times New Roman"/>
          <w:spacing w:val="-5"/>
        </w:rPr>
        <w:t>de janvier 2015 qui relate que le chef du PNB a</w:t>
      </w:r>
      <w:r w:rsidR="00A86BBC" w:rsidRPr="00A627C4">
        <w:rPr>
          <w:rFonts w:eastAsia="Times New Roman"/>
          <w:spacing w:val="-5"/>
        </w:rPr>
        <w:t>urait</w:t>
      </w:r>
      <w:r w:rsidR="0093130C" w:rsidRPr="00A627C4">
        <w:rPr>
          <w:rFonts w:eastAsia="Times New Roman"/>
          <w:spacing w:val="-5"/>
        </w:rPr>
        <w:t xml:space="preserve"> demandé la poursuite des </w:t>
      </w:r>
      <w:r w:rsidR="0093130C" w:rsidRPr="1CB0A6BE">
        <w:rPr>
          <w:rFonts w:eastAsia="Times New Roman"/>
          <w:i/>
          <w:iCs/>
          <w:spacing w:val="-5"/>
        </w:rPr>
        <w:t xml:space="preserve">hartals </w:t>
      </w:r>
      <w:r w:rsidR="0093130C" w:rsidRPr="00A627C4">
        <w:rPr>
          <w:rFonts w:eastAsia="Times New Roman"/>
          <w:spacing w:val="-5"/>
        </w:rPr>
        <w:t>«</w:t>
      </w:r>
      <w:r w:rsidR="00644B0D">
        <w:rPr>
          <w:rFonts w:eastAsia="Times New Roman"/>
          <w:spacing w:val="-5"/>
        </w:rPr>
        <w:t> </w:t>
      </w:r>
      <w:r w:rsidR="0093130C" w:rsidRPr="00A627C4">
        <w:rPr>
          <w:rFonts w:eastAsia="Times New Roman"/>
          <w:spacing w:val="-5"/>
        </w:rPr>
        <w:t>jusqu’à ce que le gouvernement soit renversé</w:t>
      </w:r>
      <w:r w:rsidR="00644B0D">
        <w:rPr>
          <w:rFonts w:eastAsia="Times New Roman"/>
          <w:spacing w:val="-5"/>
        </w:rPr>
        <w:t> </w:t>
      </w:r>
      <w:r w:rsidR="0093130C" w:rsidRPr="00A627C4">
        <w:rPr>
          <w:rFonts w:eastAsia="Times New Roman"/>
          <w:spacing w:val="-5"/>
        </w:rPr>
        <w:t>», ce qui aurait causé plus de 500 morts ainsi que des pertes économiques importantes</w:t>
      </w:r>
      <w:r w:rsidR="00192AF0" w:rsidRPr="00A627C4">
        <w:rPr>
          <w:rStyle w:val="FootnoteReference"/>
          <w:rFonts w:eastAsia="Times New Roman"/>
          <w:spacing w:val="-5"/>
        </w:rPr>
        <w:footnoteReference w:id="13"/>
      </w:r>
      <w:r w:rsidR="00A86BBC" w:rsidRPr="00A627C4">
        <w:rPr>
          <w:rFonts w:eastAsia="Times New Roman"/>
          <w:spacing w:val="-5"/>
        </w:rPr>
        <w:t>.</w:t>
      </w:r>
    </w:p>
    <w:p w14:paraId="66A7C28F" w14:textId="622C7E29" w:rsidR="002F66CE" w:rsidRPr="00A627C4" w:rsidRDefault="00886C68" w:rsidP="00B51673">
      <w:pPr>
        <w:pStyle w:val="ListParagraph"/>
        <w:numPr>
          <w:ilvl w:val="0"/>
          <w:numId w:val="7"/>
        </w:numPr>
        <w:spacing w:before="240" w:after="240" w:line="480" w:lineRule="auto"/>
        <w:ind w:left="0" w:firstLine="357"/>
        <w:jc w:val="both"/>
        <w:rPr>
          <w:rFonts w:eastAsia="Times New Roman"/>
          <w:spacing w:val="-5"/>
        </w:rPr>
      </w:pPr>
      <w:r>
        <w:rPr>
          <w:rFonts w:eastAsia="Times New Roman"/>
          <w:spacing w:val="-5"/>
        </w:rPr>
        <w:t>L’agent a conclu</w:t>
      </w:r>
      <w:r w:rsidR="002370D2" w:rsidRPr="00A627C4">
        <w:rPr>
          <w:rFonts w:eastAsia="Times New Roman"/>
          <w:spacing w:val="-5"/>
        </w:rPr>
        <w:t xml:space="preserve"> à l’interdiction de territoire de M.</w:t>
      </w:r>
      <w:r w:rsidR="00644B0D">
        <w:rPr>
          <w:rFonts w:eastAsia="Times New Roman"/>
          <w:spacing w:val="-5"/>
        </w:rPr>
        <w:t> </w:t>
      </w:r>
      <w:r w:rsidR="002370D2" w:rsidRPr="00A627C4">
        <w:rPr>
          <w:rFonts w:eastAsia="Times New Roman"/>
          <w:spacing w:val="-5"/>
        </w:rPr>
        <w:t>Chowdhury pour son appartenance</w:t>
      </w:r>
      <w:r>
        <w:rPr>
          <w:rFonts w:eastAsia="Times New Roman"/>
          <w:spacing w:val="-5"/>
        </w:rPr>
        <w:t xml:space="preserve"> au</w:t>
      </w:r>
      <w:r w:rsidR="00717C52" w:rsidRPr="00A627C4">
        <w:rPr>
          <w:rFonts w:eastAsia="Times New Roman"/>
          <w:spacing w:val="-5"/>
        </w:rPr>
        <w:t xml:space="preserve"> PNB,</w:t>
      </w:r>
      <w:r w:rsidR="00644B0D">
        <w:rPr>
          <w:rFonts w:eastAsia="Times New Roman"/>
          <w:spacing w:val="-5"/>
        </w:rPr>
        <w:t xml:space="preserve"> dont</w:t>
      </w:r>
      <w:r w:rsidR="00717C52" w:rsidRPr="00A627C4">
        <w:rPr>
          <w:rFonts w:eastAsia="Times New Roman"/>
          <w:spacing w:val="-5"/>
        </w:rPr>
        <w:t xml:space="preserve"> il y avait des motifs raisonnables de croire</w:t>
      </w:r>
      <w:r w:rsidR="00FB3782" w:rsidRPr="00A627C4">
        <w:rPr>
          <w:rFonts w:eastAsia="Times New Roman"/>
          <w:spacing w:val="-5"/>
        </w:rPr>
        <w:t xml:space="preserve"> </w:t>
      </w:r>
      <w:r w:rsidR="00717C52" w:rsidRPr="00A627C4">
        <w:rPr>
          <w:rFonts w:eastAsia="Times New Roman"/>
          <w:spacing w:val="-5"/>
        </w:rPr>
        <w:t>qu’elle était</w:t>
      </w:r>
      <w:r w:rsidR="00FB3782" w:rsidRPr="00A627C4">
        <w:rPr>
          <w:rFonts w:eastAsia="Times New Roman"/>
          <w:spacing w:val="-5"/>
        </w:rPr>
        <w:t xml:space="preserve"> l’autrice d’actes visant au renversement du gouvernement du Bangladesh par la force, conformément aux alinéas</w:t>
      </w:r>
      <w:r w:rsidR="00644B0D">
        <w:rPr>
          <w:rFonts w:eastAsia="Times New Roman"/>
          <w:spacing w:val="-5"/>
        </w:rPr>
        <w:t> </w:t>
      </w:r>
      <w:r w:rsidR="00FB3782" w:rsidRPr="00A627C4">
        <w:rPr>
          <w:rFonts w:eastAsia="Times New Roman"/>
          <w:spacing w:val="-5"/>
        </w:rPr>
        <w:t>34</w:t>
      </w:r>
      <w:r w:rsidR="00644B0D">
        <w:rPr>
          <w:rFonts w:eastAsia="Times New Roman"/>
          <w:spacing w:val="-5"/>
        </w:rPr>
        <w:t xml:space="preserve"> </w:t>
      </w:r>
      <w:r w:rsidR="00FB3782" w:rsidRPr="00A627C4">
        <w:rPr>
          <w:rFonts w:eastAsia="Times New Roman"/>
          <w:spacing w:val="-5"/>
        </w:rPr>
        <w:t>(1) f) et b) de la LIPR</w:t>
      </w:r>
      <w:r w:rsidR="00717C52" w:rsidRPr="00A627C4">
        <w:rPr>
          <w:rFonts w:eastAsia="Times New Roman"/>
          <w:spacing w:val="-5"/>
        </w:rPr>
        <w:t>.</w:t>
      </w:r>
      <w:r w:rsidR="004F3BCD" w:rsidRPr="00A627C4">
        <w:rPr>
          <w:rFonts w:eastAsia="Times New Roman"/>
          <w:spacing w:val="-5"/>
        </w:rPr>
        <w:t xml:space="preserve"> </w:t>
      </w:r>
    </w:p>
    <w:p w14:paraId="4CFE71C3" w14:textId="0643D65A" w:rsidR="004F3BCD" w:rsidRPr="00A627C4" w:rsidRDefault="004F3BCD" w:rsidP="00B51673">
      <w:pPr>
        <w:pStyle w:val="ListParagraph"/>
        <w:numPr>
          <w:ilvl w:val="0"/>
          <w:numId w:val="8"/>
        </w:numPr>
        <w:spacing w:before="240" w:after="240" w:line="480" w:lineRule="auto"/>
        <w:jc w:val="both"/>
        <w:rPr>
          <w:rFonts w:eastAsia="Times New Roman"/>
          <w:b/>
          <w:bCs/>
          <w:spacing w:val="-5"/>
        </w:rPr>
      </w:pPr>
      <w:r w:rsidRPr="00A627C4">
        <w:rPr>
          <w:rFonts w:eastAsia="Times New Roman"/>
          <w:b/>
          <w:bCs/>
          <w:spacing w:val="-5"/>
        </w:rPr>
        <w:t>Les motifs de la Cour fédérale</w:t>
      </w:r>
    </w:p>
    <w:p w14:paraId="1B11BD6B" w14:textId="032AD3E0" w:rsidR="004F3BCD" w:rsidRPr="00A627C4" w:rsidRDefault="28B9D3D8" w:rsidP="00B51673">
      <w:pPr>
        <w:pStyle w:val="ListParagraph"/>
        <w:numPr>
          <w:ilvl w:val="0"/>
          <w:numId w:val="7"/>
        </w:numPr>
        <w:spacing w:before="240" w:after="240" w:line="480" w:lineRule="auto"/>
        <w:ind w:left="0" w:firstLine="357"/>
        <w:jc w:val="both"/>
        <w:rPr>
          <w:rFonts w:eastAsia="Times New Roman"/>
          <w:spacing w:val="-5"/>
        </w:rPr>
      </w:pPr>
      <w:r w:rsidRPr="00A627C4">
        <w:rPr>
          <w:rFonts w:eastAsia="Times New Roman"/>
          <w:spacing w:val="-5"/>
        </w:rPr>
        <w:t xml:space="preserve">Il s’agit d’une demande </w:t>
      </w:r>
      <w:r w:rsidR="004071BA" w:rsidRPr="00A627C4">
        <w:rPr>
          <w:rFonts w:eastAsia="Times New Roman"/>
          <w:spacing w:val="-5"/>
        </w:rPr>
        <w:t xml:space="preserve">en </w:t>
      </w:r>
      <w:r w:rsidRPr="00A627C4">
        <w:rPr>
          <w:rFonts w:eastAsia="Times New Roman"/>
          <w:spacing w:val="-5"/>
        </w:rPr>
        <w:t>contrôle judiciaire</w:t>
      </w:r>
      <w:r w:rsidR="004071BA" w:rsidRPr="00A627C4">
        <w:rPr>
          <w:rFonts w:eastAsia="Times New Roman"/>
          <w:spacing w:val="-5"/>
        </w:rPr>
        <w:t xml:space="preserve"> </w:t>
      </w:r>
      <w:r w:rsidR="007900AD" w:rsidRPr="00A627C4">
        <w:rPr>
          <w:rFonts w:eastAsia="Times New Roman"/>
          <w:spacing w:val="-5"/>
        </w:rPr>
        <w:t>au titre de l’article</w:t>
      </w:r>
      <w:r w:rsidR="00644B0D">
        <w:rPr>
          <w:rFonts w:eastAsia="Times New Roman"/>
          <w:spacing w:val="-5"/>
        </w:rPr>
        <w:t> </w:t>
      </w:r>
      <w:r w:rsidR="007900AD" w:rsidRPr="00A627C4">
        <w:rPr>
          <w:rFonts w:eastAsia="Times New Roman"/>
          <w:spacing w:val="-5"/>
        </w:rPr>
        <w:t xml:space="preserve">72 de la LIPR </w:t>
      </w:r>
      <w:r w:rsidR="004071BA" w:rsidRPr="00A627C4">
        <w:rPr>
          <w:rFonts w:eastAsia="Times New Roman"/>
          <w:spacing w:val="-5"/>
        </w:rPr>
        <w:t xml:space="preserve">de la décision rendue le 25 novembre 2019 par l’agent </w:t>
      </w:r>
      <w:r w:rsidR="004F1AC4" w:rsidRPr="00A627C4">
        <w:rPr>
          <w:rFonts w:eastAsia="Times New Roman"/>
          <w:spacing w:val="-5"/>
        </w:rPr>
        <w:t>A</w:t>
      </w:r>
      <w:r w:rsidR="004071BA" w:rsidRPr="00A627C4">
        <w:rPr>
          <w:rFonts w:eastAsia="Times New Roman"/>
          <w:spacing w:val="-5"/>
        </w:rPr>
        <w:t>li</w:t>
      </w:r>
      <w:r w:rsidR="007900AD" w:rsidRPr="00A627C4">
        <w:rPr>
          <w:rFonts w:eastAsia="Times New Roman"/>
          <w:spacing w:val="-5"/>
        </w:rPr>
        <w:t xml:space="preserve"> dans laquelle il</w:t>
      </w:r>
      <w:r w:rsidRPr="00A627C4">
        <w:rPr>
          <w:rFonts w:eastAsia="Times New Roman"/>
          <w:spacing w:val="-5"/>
        </w:rPr>
        <w:t xml:space="preserve"> a conclu que le demandeur, </w:t>
      </w:r>
      <w:r w:rsidR="004F1AC4" w:rsidRPr="00A627C4">
        <w:rPr>
          <w:rFonts w:eastAsia="Times New Roman"/>
          <w:spacing w:val="-5"/>
        </w:rPr>
        <w:t>M</w:t>
      </w:r>
      <w:r w:rsidRPr="00A627C4">
        <w:rPr>
          <w:rFonts w:eastAsia="Times New Roman"/>
          <w:spacing w:val="-5"/>
        </w:rPr>
        <w:t>.</w:t>
      </w:r>
      <w:r w:rsidR="00644B0D">
        <w:rPr>
          <w:rFonts w:eastAsia="Times New Roman"/>
          <w:spacing w:val="-5"/>
        </w:rPr>
        <w:t> </w:t>
      </w:r>
      <w:r w:rsidRPr="00A627C4">
        <w:rPr>
          <w:rFonts w:eastAsia="Times New Roman"/>
          <w:spacing w:val="-5"/>
        </w:rPr>
        <w:t>Chowdhury, était interdit de territoire au Canada en vertu de l’alinéa 34</w:t>
      </w:r>
      <w:r w:rsidR="00644B0D">
        <w:rPr>
          <w:rFonts w:eastAsia="Times New Roman"/>
          <w:spacing w:val="-5"/>
        </w:rPr>
        <w:t xml:space="preserve"> </w:t>
      </w:r>
      <w:r w:rsidRPr="00A627C4">
        <w:rPr>
          <w:rFonts w:eastAsia="Times New Roman"/>
          <w:spacing w:val="-5"/>
        </w:rPr>
        <w:t>(1)</w:t>
      </w:r>
      <w:r w:rsidR="00644B0D">
        <w:rPr>
          <w:rFonts w:eastAsia="Times New Roman"/>
          <w:spacing w:val="-5"/>
        </w:rPr>
        <w:t xml:space="preserve"> </w:t>
      </w:r>
      <w:r w:rsidRPr="00A627C4">
        <w:rPr>
          <w:rFonts w:eastAsia="Times New Roman"/>
          <w:spacing w:val="-5"/>
        </w:rPr>
        <w:t>b) et f) de la LIPR.</w:t>
      </w:r>
    </w:p>
    <w:p w14:paraId="22561411" w14:textId="0EF437D7" w:rsidR="5446B32A" w:rsidRPr="00A627C4" w:rsidRDefault="28B9D3D8" w:rsidP="00B51673">
      <w:pPr>
        <w:pStyle w:val="ListParagraph"/>
        <w:numPr>
          <w:ilvl w:val="0"/>
          <w:numId w:val="7"/>
        </w:numPr>
        <w:spacing w:before="240" w:after="240" w:line="480" w:lineRule="auto"/>
        <w:ind w:left="0" w:firstLine="357"/>
        <w:jc w:val="both"/>
        <w:rPr>
          <w:spacing w:val="-5"/>
        </w:rPr>
      </w:pPr>
      <w:r w:rsidRPr="00A627C4">
        <w:rPr>
          <w:spacing w:val="-5"/>
        </w:rPr>
        <w:t>La demande de contrôle judiciaire est acceptée</w:t>
      </w:r>
      <w:r w:rsidR="1790AD1E" w:rsidRPr="00A627C4">
        <w:rPr>
          <w:spacing w:val="-5"/>
        </w:rPr>
        <w:t xml:space="preserve">. </w:t>
      </w:r>
      <w:r w:rsidR="2A51EBF5" w:rsidRPr="00A627C4">
        <w:rPr>
          <w:rFonts w:eastAsia="Times New Roman"/>
          <w:spacing w:val="-5"/>
        </w:rPr>
        <w:t xml:space="preserve">Les parties et la juge </w:t>
      </w:r>
      <w:r w:rsidR="540E0BAF" w:rsidRPr="00A627C4">
        <w:rPr>
          <w:rFonts w:eastAsia="Times New Roman"/>
          <w:spacing w:val="-5"/>
        </w:rPr>
        <w:t>Jagger</w:t>
      </w:r>
      <w:r w:rsidR="5BD9EC2B" w:rsidRPr="00A627C4">
        <w:rPr>
          <w:rFonts w:eastAsia="Times New Roman"/>
          <w:spacing w:val="-5"/>
        </w:rPr>
        <w:t xml:space="preserve"> </w:t>
      </w:r>
      <w:r w:rsidR="2A51EBF5" w:rsidRPr="00A627C4">
        <w:rPr>
          <w:rFonts w:eastAsia="Times New Roman"/>
          <w:spacing w:val="-5"/>
        </w:rPr>
        <w:t>sont du même avis</w:t>
      </w:r>
      <w:r w:rsidR="00644B0D">
        <w:rPr>
          <w:rFonts w:eastAsia="Times New Roman"/>
          <w:spacing w:val="-5"/>
        </w:rPr>
        <w:t> </w:t>
      </w:r>
      <w:r w:rsidR="2A51EBF5" w:rsidRPr="00A627C4">
        <w:rPr>
          <w:rFonts w:eastAsia="Times New Roman"/>
          <w:spacing w:val="-5"/>
        </w:rPr>
        <w:t>: la norme de contrôle applicable aux deux questions est celle de la décision raisonnable</w:t>
      </w:r>
      <w:r w:rsidR="004A7492" w:rsidRPr="00A627C4">
        <w:rPr>
          <w:rStyle w:val="FootnoteReference"/>
          <w:rFonts w:eastAsia="Times New Roman"/>
          <w:spacing w:val="-5"/>
        </w:rPr>
        <w:footnoteReference w:id="14"/>
      </w:r>
      <w:r w:rsidR="2A51EBF5" w:rsidRPr="00A627C4">
        <w:rPr>
          <w:rFonts w:eastAsia="Times New Roman"/>
          <w:spacing w:val="-5"/>
        </w:rPr>
        <w:t xml:space="preserve">. </w:t>
      </w:r>
    </w:p>
    <w:p w14:paraId="4BE22176" w14:textId="559AF7C8" w:rsidR="00661B5A" w:rsidRPr="00B13E36" w:rsidRDefault="06D97B72" w:rsidP="00B13E36">
      <w:pPr>
        <w:pStyle w:val="ListParagraph"/>
        <w:numPr>
          <w:ilvl w:val="1"/>
          <w:numId w:val="8"/>
        </w:numPr>
        <w:jc w:val="both"/>
        <w:rPr>
          <w:rFonts w:eastAsia="Times New Roman"/>
          <w:b/>
          <w:bCs/>
          <w:spacing w:val="-5"/>
        </w:rPr>
      </w:pPr>
      <w:r w:rsidRPr="00652243">
        <w:rPr>
          <w:rFonts w:eastAsia="Times New Roman"/>
          <w:b/>
          <w:bCs/>
          <w:spacing w:val="-5"/>
        </w:rPr>
        <w:t>L’agent a commis une erreur en concluant que la contrainte ne s’appliquait pas aux circonstances de l’espèce</w:t>
      </w:r>
    </w:p>
    <w:p w14:paraId="5583951F" w14:textId="5DC8FAE8" w:rsidR="06D97B72" w:rsidRPr="00A627C4" w:rsidRDefault="06D97B72" w:rsidP="00B51673">
      <w:pPr>
        <w:pStyle w:val="ListParagraph"/>
        <w:numPr>
          <w:ilvl w:val="0"/>
          <w:numId w:val="7"/>
        </w:numPr>
        <w:spacing w:before="240" w:after="240" w:line="480" w:lineRule="auto"/>
        <w:ind w:left="0" w:firstLine="357"/>
        <w:jc w:val="both"/>
        <w:rPr>
          <w:spacing w:val="-5"/>
        </w:rPr>
      </w:pPr>
      <w:r w:rsidRPr="00A627C4">
        <w:rPr>
          <w:rFonts w:eastAsia="Times New Roman"/>
          <w:spacing w:val="-5"/>
        </w:rPr>
        <w:t>Le demandeur, M.</w:t>
      </w:r>
      <w:r w:rsidR="00644B0D">
        <w:rPr>
          <w:rFonts w:eastAsia="Times New Roman"/>
          <w:spacing w:val="-5"/>
        </w:rPr>
        <w:t> </w:t>
      </w:r>
      <w:r w:rsidRPr="00A627C4">
        <w:rPr>
          <w:rFonts w:eastAsia="Times New Roman"/>
          <w:spacing w:val="-5"/>
        </w:rPr>
        <w:t>Chowdhury est devenu membre d’une organisation, le PNB, visée à l’alinéa</w:t>
      </w:r>
      <w:r w:rsidR="00644B0D">
        <w:rPr>
          <w:rFonts w:eastAsia="Times New Roman"/>
          <w:spacing w:val="-5"/>
        </w:rPr>
        <w:t> </w:t>
      </w:r>
      <w:r w:rsidRPr="00A627C4">
        <w:rPr>
          <w:rFonts w:eastAsia="Times New Roman"/>
          <w:spacing w:val="-5"/>
        </w:rPr>
        <w:t>34</w:t>
      </w:r>
      <w:r w:rsidR="00644B0D">
        <w:rPr>
          <w:rFonts w:eastAsia="Times New Roman"/>
          <w:spacing w:val="-5"/>
        </w:rPr>
        <w:t xml:space="preserve"> </w:t>
      </w:r>
      <w:r w:rsidRPr="00A627C4">
        <w:rPr>
          <w:rFonts w:eastAsia="Times New Roman"/>
          <w:spacing w:val="-5"/>
        </w:rPr>
        <w:t>(1)</w:t>
      </w:r>
      <w:r w:rsidR="00644B0D">
        <w:rPr>
          <w:rFonts w:eastAsia="Times New Roman"/>
          <w:spacing w:val="-5"/>
        </w:rPr>
        <w:t xml:space="preserve"> </w:t>
      </w:r>
      <w:r w:rsidRPr="00A627C4">
        <w:rPr>
          <w:rFonts w:eastAsia="Times New Roman"/>
          <w:spacing w:val="-5"/>
        </w:rPr>
        <w:t>f) de la LIPR</w:t>
      </w:r>
      <w:r w:rsidR="57BA24AD" w:rsidRPr="00A627C4">
        <w:rPr>
          <w:rFonts w:eastAsia="Times New Roman"/>
          <w:spacing w:val="-5"/>
        </w:rPr>
        <w:t>,</w:t>
      </w:r>
      <w:r w:rsidRPr="00A627C4">
        <w:rPr>
          <w:rFonts w:eastAsia="Times New Roman"/>
          <w:spacing w:val="-5"/>
        </w:rPr>
        <w:t xml:space="preserve"> par contrainte de dévoiler son orientation sexuelle à sa famille. Selon lui, cette contrainte annule la conclusion</w:t>
      </w:r>
      <w:r w:rsidR="2AB8A8C8" w:rsidRPr="00A627C4">
        <w:rPr>
          <w:rFonts w:eastAsia="Times New Roman"/>
          <w:spacing w:val="-5"/>
        </w:rPr>
        <w:t xml:space="preserve"> de</w:t>
      </w:r>
      <w:r w:rsidRPr="00A627C4">
        <w:rPr>
          <w:rFonts w:eastAsia="Times New Roman"/>
          <w:spacing w:val="-5"/>
        </w:rPr>
        <w:t xml:space="preserve"> </w:t>
      </w:r>
      <w:r w:rsidR="0BB68F42" w:rsidRPr="00A627C4">
        <w:rPr>
          <w:rFonts w:eastAsia="Times New Roman"/>
          <w:spacing w:val="-5"/>
        </w:rPr>
        <w:t xml:space="preserve">son </w:t>
      </w:r>
      <w:r w:rsidRPr="00A627C4">
        <w:rPr>
          <w:rFonts w:eastAsia="Times New Roman"/>
          <w:spacing w:val="-5"/>
        </w:rPr>
        <w:t>appartenance</w:t>
      </w:r>
      <w:r w:rsidR="6F27A459" w:rsidRPr="00A627C4">
        <w:rPr>
          <w:rFonts w:eastAsia="Times New Roman"/>
          <w:spacing w:val="-5"/>
        </w:rPr>
        <w:t xml:space="preserve"> véritable au PNB</w:t>
      </w:r>
      <w:r w:rsidRPr="00A627C4">
        <w:rPr>
          <w:rFonts w:eastAsia="Times New Roman"/>
          <w:spacing w:val="-5"/>
        </w:rPr>
        <w:t xml:space="preserve">. </w:t>
      </w:r>
    </w:p>
    <w:p w14:paraId="626E1773" w14:textId="7D19DD5B" w:rsidR="06D97B72" w:rsidRPr="00A627C4" w:rsidRDefault="06D97B72" w:rsidP="00B51673">
      <w:pPr>
        <w:pStyle w:val="ListParagraph"/>
        <w:numPr>
          <w:ilvl w:val="0"/>
          <w:numId w:val="7"/>
        </w:numPr>
        <w:spacing w:before="240" w:after="240" w:line="480" w:lineRule="auto"/>
        <w:ind w:left="0" w:firstLine="357"/>
        <w:jc w:val="both"/>
        <w:rPr>
          <w:spacing w:val="-5"/>
        </w:rPr>
      </w:pPr>
      <w:r w:rsidRPr="00A627C4">
        <w:rPr>
          <w:rFonts w:eastAsia="Times New Roman"/>
          <w:spacing w:val="-5"/>
        </w:rPr>
        <w:t xml:space="preserve">Le défendeur soutient que la contrainte n’est pas un facteur pertinent dans son analyse, car l’intention de contribuer à une organisation qui vise à renverser un gouvernement n’est pas nécessaire pour évaluer l’appartenance à cette organisation. Selon lui, </w:t>
      </w:r>
      <w:r w:rsidR="007B5507">
        <w:rPr>
          <w:rFonts w:eastAsia="Times New Roman"/>
          <w:spacing w:val="-5"/>
        </w:rPr>
        <w:t>cette dernière</w:t>
      </w:r>
      <w:r w:rsidRPr="00A627C4">
        <w:rPr>
          <w:rFonts w:eastAsia="Times New Roman"/>
          <w:spacing w:val="-5"/>
        </w:rPr>
        <w:t xml:space="preserve"> doit être interprétée de manière large. De ce fait, M.</w:t>
      </w:r>
      <w:r w:rsidR="00644B0D">
        <w:rPr>
          <w:rFonts w:eastAsia="Times New Roman"/>
          <w:spacing w:val="-5"/>
        </w:rPr>
        <w:t> </w:t>
      </w:r>
      <w:r w:rsidRPr="00A627C4">
        <w:rPr>
          <w:rFonts w:eastAsia="Times New Roman"/>
          <w:spacing w:val="-5"/>
        </w:rPr>
        <w:t xml:space="preserve">Chowdhury était un membre du PNB entre 2011 et novembre 2013 et son intention de participer ou non aux activités du PNB qui visaient à renverser le gouvernement à partir de </w:t>
      </w:r>
      <w:r w:rsidR="00A96AC0" w:rsidRPr="00A627C4">
        <w:rPr>
          <w:rFonts w:eastAsia="Times New Roman"/>
          <w:spacing w:val="-5"/>
        </w:rPr>
        <w:t>décembre</w:t>
      </w:r>
      <w:r w:rsidRPr="00A627C4">
        <w:rPr>
          <w:rFonts w:eastAsia="Times New Roman"/>
          <w:spacing w:val="-5"/>
        </w:rPr>
        <w:t xml:space="preserve"> 2013 à 2014 n’est pas pertinente pour établir son statut de membre. </w:t>
      </w:r>
    </w:p>
    <w:p w14:paraId="7A45EA96" w14:textId="3A4EA58D" w:rsidR="06D97B72" w:rsidRPr="00A627C4" w:rsidRDefault="06D97B72" w:rsidP="00B51673">
      <w:pPr>
        <w:pStyle w:val="ListParagraph"/>
        <w:numPr>
          <w:ilvl w:val="0"/>
          <w:numId w:val="7"/>
        </w:numPr>
        <w:spacing w:before="240" w:after="240" w:line="480" w:lineRule="auto"/>
        <w:ind w:left="0" w:firstLine="357"/>
        <w:jc w:val="both"/>
        <w:rPr>
          <w:spacing w:val="-5"/>
        </w:rPr>
      </w:pPr>
      <w:r w:rsidRPr="00A627C4">
        <w:rPr>
          <w:rFonts w:eastAsia="Times New Roman"/>
          <w:spacing w:val="-5"/>
        </w:rPr>
        <w:t xml:space="preserve">La juge </w:t>
      </w:r>
      <w:r w:rsidR="540E0BAF" w:rsidRPr="00A627C4">
        <w:rPr>
          <w:rFonts w:eastAsia="Times New Roman"/>
          <w:spacing w:val="-5"/>
        </w:rPr>
        <w:t>Jagger</w:t>
      </w:r>
      <w:r w:rsidRPr="00A627C4">
        <w:rPr>
          <w:rFonts w:eastAsia="Times New Roman"/>
          <w:spacing w:val="-5"/>
        </w:rPr>
        <w:t xml:space="preserve"> n’est pas d’accord avec le défendeur, car la contrainte est directement pertinente à cette question. Selon elle, un agent doit avoir des motifs raisonnables de croire que le demandeur était «</w:t>
      </w:r>
      <w:r w:rsidR="00644B0D">
        <w:rPr>
          <w:rFonts w:eastAsia="Times New Roman"/>
          <w:spacing w:val="-5"/>
        </w:rPr>
        <w:t> </w:t>
      </w:r>
      <w:r w:rsidRPr="00A627C4">
        <w:rPr>
          <w:rFonts w:eastAsia="Times New Roman"/>
          <w:spacing w:val="-5"/>
        </w:rPr>
        <w:t>véritablement</w:t>
      </w:r>
      <w:r w:rsidR="00644B0D">
        <w:rPr>
          <w:rFonts w:eastAsia="Times New Roman"/>
          <w:spacing w:val="-5"/>
        </w:rPr>
        <w:t> </w:t>
      </w:r>
      <w:r w:rsidRPr="00A627C4">
        <w:rPr>
          <w:rFonts w:eastAsia="Times New Roman"/>
          <w:spacing w:val="-5"/>
        </w:rPr>
        <w:t>» un membre d’une organisation visée par l’alinéa 34</w:t>
      </w:r>
      <w:r w:rsidR="00644B0D">
        <w:rPr>
          <w:rFonts w:eastAsia="Times New Roman"/>
          <w:spacing w:val="-5"/>
        </w:rPr>
        <w:t xml:space="preserve"> </w:t>
      </w:r>
      <w:r w:rsidRPr="00A627C4">
        <w:rPr>
          <w:rFonts w:eastAsia="Times New Roman"/>
          <w:spacing w:val="-5"/>
        </w:rPr>
        <w:t>(1)</w:t>
      </w:r>
      <w:r w:rsidR="00644B0D">
        <w:rPr>
          <w:rFonts w:eastAsia="Times New Roman"/>
          <w:spacing w:val="-5"/>
        </w:rPr>
        <w:t xml:space="preserve"> </w:t>
      </w:r>
      <w:r w:rsidRPr="00A627C4">
        <w:rPr>
          <w:rFonts w:eastAsia="Times New Roman"/>
          <w:spacing w:val="-5"/>
        </w:rPr>
        <w:t>b)</w:t>
      </w:r>
      <w:r w:rsidR="3F4310F5" w:rsidRPr="00A627C4">
        <w:rPr>
          <w:rFonts w:eastAsia="Times New Roman"/>
          <w:spacing w:val="-5"/>
        </w:rPr>
        <w:t xml:space="preserve"> de la LIPR pour être assujettie à l’alinéa</w:t>
      </w:r>
      <w:r w:rsidR="00644B0D">
        <w:rPr>
          <w:rFonts w:eastAsia="Times New Roman"/>
          <w:spacing w:val="-5"/>
        </w:rPr>
        <w:t> </w:t>
      </w:r>
      <w:r w:rsidR="3F4310F5" w:rsidRPr="00A627C4">
        <w:rPr>
          <w:rFonts w:eastAsia="Times New Roman"/>
          <w:spacing w:val="-5"/>
        </w:rPr>
        <w:t>34</w:t>
      </w:r>
      <w:r w:rsidR="00644B0D">
        <w:rPr>
          <w:rFonts w:eastAsia="Times New Roman"/>
          <w:spacing w:val="-5"/>
        </w:rPr>
        <w:t xml:space="preserve"> </w:t>
      </w:r>
      <w:r w:rsidR="3F4310F5" w:rsidRPr="00A627C4">
        <w:rPr>
          <w:rFonts w:eastAsia="Times New Roman"/>
          <w:spacing w:val="-5"/>
        </w:rPr>
        <w:t>(1) f) de la LIPR.</w:t>
      </w:r>
    </w:p>
    <w:p w14:paraId="2C5A2CC4" w14:textId="2279DDB8" w:rsidR="1C68C9FF" w:rsidRPr="007E3266" w:rsidRDefault="06D97B72" w:rsidP="007E3266">
      <w:pPr>
        <w:pStyle w:val="ListParagraph"/>
        <w:numPr>
          <w:ilvl w:val="0"/>
          <w:numId w:val="7"/>
        </w:numPr>
        <w:spacing w:before="240" w:after="240" w:line="480" w:lineRule="auto"/>
        <w:ind w:left="0" w:firstLine="357"/>
        <w:jc w:val="both"/>
        <w:rPr>
          <w:spacing w:val="-5"/>
        </w:rPr>
      </w:pPr>
      <w:r w:rsidRPr="00A627C4">
        <w:rPr>
          <w:rFonts w:eastAsia="Times New Roman"/>
          <w:spacing w:val="-5"/>
        </w:rPr>
        <w:t>La juge</w:t>
      </w:r>
      <w:r w:rsidR="0000417D">
        <w:rPr>
          <w:rFonts w:eastAsia="Times New Roman"/>
          <w:spacing w:val="-5"/>
        </w:rPr>
        <w:t xml:space="preserve"> </w:t>
      </w:r>
      <w:r w:rsidRPr="00A627C4">
        <w:rPr>
          <w:rFonts w:eastAsia="Times New Roman"/>
          <w:spacing w:val="-5"/>
        </w:rPr>
        <w:t>précise un principe de common law selon lequel «</w:t>
      </w:r>
      <w:r w:rsidR="00644B0D">
        <w:rPr>
          <w:rFonts w:eastAsia="Times New Roman"/>
          <w:spacing w:val="-5"/>
        </w:rPr>
        <w:t> </w:t>
      </w:r>
      <w:r w:rsidRPr="00A627C4">
        <w:rPr>
          <w:rFonts w:eastAsia="Times New Roman"/>
          <w:spacing w:val="-5"/>
        </w:rPr>
        <w:t>une personne ne peut être tenue responsable d’actes qu’elle n’a pas commis de son plein gré</w:t>
      </w:r>
      <w:r w:rsidRPr="00A627C4">
        <w:rPr>
          <w:rStyle w:val="FootnoteReference"/>
          <w:rFonts w:eastAsia="Times New Roman"/>
          <w:spacing w:val="-5"/>
        </w:rPr>
        <w:footnoteReference w:id="15"/>
      </w:r>
      <w:r w:rsidR="00644B0D">
        <w:rPr>
          <w:rFonts w:eastAsia="Times New Roman"/>
          <w:spacing w:val="-5"/>
        </w:rPr>
        <w:t> </w:t>
      </w:r>
      <w:r w:rsidRPr="00A627C4">
        <w:rPr>
          <w:rFonts w:eastAsia="Times New Roman"/>
          <w:spacing w:val="-5"/>
        </w:rPr>
        <w:t>»</w:t>
      </w:r>
      <w:r w:rsidR="006063B9">
        <w:rPr>
          <w:rFonts w:eastAsia="Times New Roman"/>
          <w:spacing w:val="-5"/>
        </w:rPr>
        <w:t xml:space="preserve"> en plus d’expliquer </w:t>
      </w:r>
      <w:r w:rsidRPr="00A627C4">
        <w:rPr>
          <w:rFonts w:eastAsia="Times New Roman"/>
          <w:spacing w:val="-5"/>
        </w:rPr>
        <w:t>l’historique du moyen de défense de la contrainte en droit criminel</w:t>
      </w:r>
      <w:r w:rsidR="00833D74">
        <w:rPr>
          <w:rFonts w:eastAsia="Times New Roman"/>
          <w:spacing w:val="-5"/>
        </w:rPr>
        <w:t xml:space="preserve">, maintenant </w:t>
      </w:r>
      <w:r w:rsidRPr="00A627C4">
        <w:rPr>
          <w:rFonts w:eastAsia="Times New Roman"/>
          <w:spacing w:val="-5"/>
        </w:rPr>
        <w:t>codifié aux articles</w:t>
      </w:r>
      <w:r w:rsidR="00644B0D">
        <w:rPr>
          <w:rFonts w:eastAsia="Times New Roman"/>
          <w:spacing w:val="-5"/>
        </w:rPr>
        <w:t> </w:t>
      </w:r>
      <w:r w:rsidRPr="00A627C4">
        <w:rPr>
          <w:rFonts w:eastAsia="Times New Roman"/>
          <w:spacing w:val="-5"/>
        </w:rPr>
        <w:t xml:space="preserve">17 et 34 du </w:t>
      </w:r>
      <w:r w:rsidRPr="07ABB96B">
        <w:rPr>
          <w:rFonts w:eastAsia="Times New Roman"/>
          <w:i/>
          <w:iCs/>
          <w:spacing w:val="-5"/>
        </w:rPr>
        <w:t>Code criminel</w:t>
      </w:r>
      <w:r w:rsidR="00304B49" w:rsidRPr="07ABB96B">
        <w:rPr>
          <w:rStyle w:val="FootnoteReference"/>
          <w:rFonts w:eastAsia="Times New Roman"/>
          <w:i/>
          <w:iCs/>
          <w:spacing w:val="-5"/>
        </w:rPr>
        <w:footnoteReference w:id="16"/>
      </w:r>
      <w:r w:rsidRPr="00A627C4">
        <w:rPr>
          <w:rFonts w:eastAsia="Times New Roman"/>
          <w:spacing w:val="-5"/>
        </w:rPr>
        <w:t xml:space="preserve">. L’application de </w:t>
      </w:r>
      <w:r w:rsidR="000546ED">
        <w:rPr>
          <w:rFonts w:eastAsia="Times New Roman"/>
          <w:spacing w:val="-5"/>
        </w:rPr>
        <w:t xml:space="preserve">la </w:t>
      </w:r>
      <w:r w:rsidRPr="00A627C4">
        <w:rPr>
          <w:rFonts w:eastAsia="Times New Roman"/>
          <w:spacing w:val="-5"/>
        </w:rPr>
        <w:t xml:space="preserve">LIPR doit </w:t>
      </w:r>
      <w:r w:rsidR="000B6667">
        <w:rPr>
          <w:rFonts w:eastAsia="Times New Roman"/>
          <w:spacing w:val="-5"/>
        </w:rPr>
        <w:t>en tenir compte</w:t>
      </w:r>
      <w:r w:rsidRPr="00A627C4">
        <w:rPr>
          <w:rFonts w:eastAsia="Times New Roman"/>
          <w:spacing w:val="-5"/>
        </w:rPr>
        <w:t xml:space="preserve">. </w:t>
      </w:r>
      <w:r w:rsidR="733B7702" w:rsidRPr="00A627C4">
        <w:rPr>
          <w:rFonts w:eastAsia="Times New Roman"/>
          <w:spacing w:val="-5"/>
        </w:rPr>
        <w:t>La</w:t>
      </w:r>
      <w:r w:rsidRPr="00A627C4">
        <w:rPr>
          <w:rFonts w:eastAsia="Times New Roman"/>
          <w:spacing w:val="-5"/>
        </w:rPr>
        <w:t xml:space="preserve"> définition de «</w:t>
      </w:r>
      <w:r w:rsidR="00644B0D">
        <w:rPr>
          <w:rFonts w:eastAsia="Times New Roman"/>
          <w:spacing w:val="-5"/>
        </w:rPr>
        <w:t> </w:t>
      </w:r>
      <w:r w:rsidRPr="00A627C4">
        <w:rPr>
          <w:rFonts w:eastAsia="Times New Roman"/>
          <w:spacing w:val="-5"/>
        </w:rPr>
        <w:t>terrorisme</w:t>
      </w:r>
      <w:r w:rsidR="00644B0D">
        <w:rPr>
          <w:rFonts w:eastAsia="Times New Roman"/>
          <w:spacing w:val="-5"/>
        </w:rPr>
        <w:t> </w:t>
      </w:r>
      <w:r w:rsidRPr="00A627C4">
        <w:rPr>
          <w:rFonts w:eastAsia="Times New Roman"/>
          <w:spacing w:val="-5"/>
        </w:rPr>
        <w:t>» de la LIPR intègre</w:t>
      </w:r>
      <w:r w:rsidR="733B7702" w:rsidRPr="00A627C4">
        <w:rPr>
          <w:rFonts w:eastAsia="Times New Roman"/>
          <w:spacing w:val="-5"/>
        </w:rPr>
        <w:t xml:space="preserve"> d’ailleurs</w:t>
      </w:r>
      <w:r w:rsidRPr="00A627C4">
        <w:rPr>
          <w:rFonts w:eastAsia="Times New Roman"/>
          <w:spacing w:val="-5"/>
        </w:rPr>
        <w:t xml:space="preserve"> la définition du </w:t>
      </w:r>
      <w:r w:rsidRPr="07ABB96B">
        <w:rPr>
          <w:rFonts w:eastAsia="Times New Roman"/>
          <w:i/>
          <w:iCs/>
          <w:spacing w:val="-5"/>
        </w:rPr>
        <w:t>Code criminel</w:t>
      </w:r>
      <w:r w:rsidRPr="00A627C4">
        <w:rPr>
          <w:rFonts w:eastAsia="Times New Roman"/>
          <w:spacing w:val="-5"/>
        </w:rPr>
        <w:t>.</w:t>
      </w:r>
      <w:r w:rsidR="007E3266">
        <w:rPr>
          <w:rFonts w:eastAsia="Times New Roman"/>
          <w:spacing w:val="-5"/>
        </w:rPr>
        <w:t xml:space="preserve"> </w:t>
      </w:r>
      <w:r w:rsidR="00D11AC8">
        <w:rPr>
          <w:rFonts w:eastAsia="Times New Roman"/>
          <w:spacing w:val="-5"/>
        </w:rPr>
        <w:t>De plus</w:t>
      </w:r>
      <w:r w:rsidR="62807828" w:rsidRPr="007E3266">
        <w:rPr>
          <w:rFonts w:eastAsia="Times New Roman"/>
          <w:spacing w:val="-5"/>
        </w:rPr>
        <w:t>, la Cour a déjà déterminé que «</w:t>
      </w:r>
      <w:r w:rsidR="00644B0D">
        <w:rPr>
          <w:rFonts w:eastAsia="Times New Roman"/>
          <w:spacing w:val="-5"/>
        </w:rPr>
        <w:t> </w:t>
      </w:r>
      <w:r w:rsidR="62807828" w:rsidRPr="007E3266">
        <w:rPr>
          <w:rFonts w:eastAsia="Times New Roman"/>
          <w:spacing w:val="-5"/>
        </w:rPr>
        <w:t>la contrainte et l’appartenance à une organisation sont interreliées et devraient être examinées ensemble</w:t>
      </w:r>
      <w:r w:rsidR="00644B0D">
        <w:rPr>
          <w:rFonts w:eastAsia="Times New Roman"/>
          <w:spacing w:val="-5"/>
        </w:rPr>
        <w:t> </w:t>
      </w:r>
      <w:r w:rsidR="62807828" w:rsidRPr="007E3266">
        <w:rPr>
          <w:rFonts w:eastAsia="Times New Roman"/>
          <w:spacing w:val="-5"/>
        </w:rPr>
        <w:t>»</w:t>
      </w:r>
      <w:r w:rsidR="00CC1C00">
        <w:rPr>
          <w:rFonts w:eastAsia="Times New Roman"/>
          <w:spacing w:val="-5"/>
        </w:rPr>
        <w:t xml:space="preserve"> et que</w:t>
      </w:r>
      <w:r w:rsidR="62807828" w:rsidRPr="007E3266">
        <w:rPr>
          <w:rFonts w:eastAsia="Times New Roman"/>
          <w:spacing w:val="-5"/>
        </w:rPr>
        <w:t xml:space="preserve"> </w:t>
      </w:r>
      <w:r w:rsidR="343CCF96" w:rsidRPr="007E3266">
        <w:rPr>
          <w:rFonts w:eastAsia="Times New Roman"/>
          <w:spacing w:val="-5"/>
        </w:rPr>
        <w:t>«</w:t>
      </w:r>
      <w:r w:rsidR="00644B0D">
        <w:rPr>
          <w:rFonts w:eastAsia="Times New Roman"/>
          <w:spacing w:val="-5"/>
        </w:rPr>
        <w:t> </w:t>
      </w:r>
      <w:r w:rsidR="62807828" w:rsidRPr="007E3266">
        <w:rPr>
          <w:rFonts w:eastAsia="Times New Roman"/>
          <w:spacing w:val="-5"/>
        </w:rPr>
        <w:t xml:space="preserve">la preuve de contrainte </w:t>
      </w:r>
      <w:r w:rsidR="6EA11EC3" w:rsidRPr="007E3266">
        <w:rPr>
          <w:rFonts w:eastAsia="Times New Roman"/>
          <w:spacing w:val="-5"/>
        </w:rPr>
        <w:t>peut être invoquée pour contrecarrer la preuve d’appartenance</w:t>
      </w:r>
      <w:r w:rsidR="1C68C9FF" w:rsidRPr="00A627C4">
        <w:rPr>
          <w:rStyle w:val="FootnoteReference"/>
          <w:spacing w:val="-5"/>
        </w:rPr>
        <w:footnoteReference w:id="17"/>
      </w:r>
      <w:r w:rsidR="00644B0D">
        <w:rPr>
          <w:rFonts w:eastAsia="Times New Roman"/>
          <w:spacing w:val="-5"/>
        </w:rPr>
        <w:t> </w:t>
      </w:r>
      <w:r w:rsidR="53FDBE60" w:rsidRPr="007E3266">
        <w:rPr>
          <w:rFonts w:eastAsia="Times New Roman"/>
          <w:spacing w:val="-5"/>
        </w:rPr>
        <w:t>».</w:t>
      </w:r>
    </w:p>
    <w:p w14:paraId="7A3638E8" w14:textId="5FF0E64D" w:rsidR="3BDBA6E5" w:rsidRPr="00A627C4" w:rsidRDefault="7242AB52" w:rsidP="00B51673">
      <w:pPr>
        <w:pStyle w:val="ListParagraph"/>
        <w:numPr>
          <w:ilvl w:val="0"/>
          <w:numId w:val="7"/>
        </w:numPr>
        <w:spacing w:before="240" w:after="240" w:line="480" w:lineRule="auto"/>
        <w:ind w:left="0" w:firstLine="357"/>
        <w:jc w:val="both"/>
        <w:rPr>
          <w:rFonts w:eastAsia="Times New Roman"/>
          <w:spacing w:val="-5"/>
        </w:rPr>
      </w:pPr>
      <w:r w:rsidRPr="00A627C4">
        <w:rPr>
          <w:rFonts w:eastAsia="Times New Roman"/>
          <w:spacing w:val="-5"/>
        </w:rPr>
        <w:t>L’agent aurait dû examiner l’ensemble de la preuve pour déterminer si M.</w:t>
      </w:r>
      <w:r w:rsidR="00644B0D">
        <w:rPr>
          <w:rFonts w:eastAsia="Times New Roman"/>
          <w:spacing w:val="-5"/>
        </w:rPr>
        <w:t> </w:t>
      </w:r>
      <w:r w:rsidRPr="00A627C4">
        <w:rPr>
          <w:rFonts w:eastAsia="Times New Roman"/>
          <w:spacing w:val="-5"/>
        </w:rPr>
        <w:t>Chowdhury était un membre «</w:t>
      </w:r>
      <w:r w:rsidR="00644B0D">
        <w:rPr>
          <w:rFonts w:eastAsia="Times New Roman"/>
          <w:spacing w:val="-5"/>
        </w:rPr>
        <w:t> </w:t>
      </w:r>
      <w:r w:rsidRPr="00A627C4">
        <w:rPr>
          <w:rFonts w:eastAsia="Times New Roman"/>
          <w:spacing w:val="-5"/>
        </w:rPr>
        <w:t>véritable</w:t>
      </w:r>
      <w:r w:rsidR="00644B0D">
        <w:rPr>
          <w:rFonts w:eastAsia="Times New Roman"/>
          <w:spacing w:val="-5"/>
        </w:rPr>
        <w:t> </w:t>
      </w:r>
      <w:r w:rsidRPr="00A627C4">
        <w:rPr>
          <w:rFonts w:eastAsia="Times New Roman"/>
          <w:spacing w:val="-5"/>
        </w:rPr>
        <w:t xml:space="preserve">» ou si </w:t>
      </w:r>
      <w:r w:rsidR="113A1B7F" w:rsidRPr="00A627C4">
        <w:rPr>
          <w:rFonts w:eastAsia="Times New Roman"/>
          <w:spacing w:val="-5"/>
        </w:rPr>
        <w:t xml:space="preserve">sa </w:t>
      </w:r>
      <w:r w:rsidRPr="00A627C4">
        <w:rPr>
          <w:rFonts w:eastAsia="Times New Roman"/>
          <w:spacing w:val="-5"/>
        </w:rPr>
        <w:t>participation au PNB était faite sous contrainte, pour assurer sa «</w:t>
      </w:r>
      <w:r w:rsidR="00644B0D">
        <w:rPr>
          <w:rFonts w:eastAsia="Times New Roman"/>
          <w:spacing w:val="-5"/>
        </w:rPr>
        <w:t> </w:t>
      </w:r>
      <w:r w:rsidRPr="00A627C4">
        <w:rPr>
          <w:rFonts w:eastAsia="Times New Roman"/>
          <w:spacing w:val="-5"/>
        </w:rPr>
        <w:t>survie</w:t>
      </w:r>
      <w:r w:rsidR="00644B0D">
        <w:rPr>
          <w:rFonts w:eastAsia="Times New Roman"/>
          <w:spacing w:val="-5"/>
        </w:rPr>
        <w:t> </w:t>
      </w:r>
      <w:r w:rsidRPr="00A627C4">
        <w:rPr>
          <w:rFonts w:eastAsia="Times New Roman"/>
          <w:spacing w:val="-5"/>
        </w:rPr>
        <w:t>» et pour «</w:t>
      </w:r>
      <w:r w:rsidR="00644B0D">
        <w:rPr>
          <w:rFonts w:eastAsia="Times New Roman"/>
          <w:spacing w:val="-5"/>
        </w:rPr>
        <w:t> </w:t>
      </w:r>
      <w:r w:rsidRPr="00A627C4">
        <w:rPr>
          <w:rFonts w:eastAsia="Times New Roman"/>
          <w:spacing w:val="-5"/>
        </w:rPr>
        <w:t>se protéger</w:t>
      </w:r>
      <w:r w:rsidR="00644B0D">
        <w:rPr>
          <w:rFonts w:eastAsia="Times New Roman"/>
          <w:spacing w:val="-5"/>
        </w:rPr>
        <w:t> </w:t>
      </w:r>
      <w:r w:rsidRPr="00A627C4">
        <w:rPr>
          <w:rFonts w:eastAsia="Times New Roman"/>
          <w:spacing w:val="-5"/>
        </w:rPr>
        <w:t>»</w:t>
      </w:r>
      <w:r w:rsidR="3BDBA6E5" w:rsidRPr="00A627C4">
        <w:rPr>
          <w:rStyle w:val="FootnoteReference"/>
          <w:rFonts w:eastAsia="Times New Roman"/>
          <w:spacing w:val="-5"/>
        </w:rPr>
        <w:footnoteReference w:id="18"/>
      </w:r>
      <w:r w:rsidR="7FBE17CE" w:rsidRPr="00A627C4">
        <w:rPr>
          <w:rFonts w:eastAsia="Times New Roman"/>
          <w:spacing w:val="-5"/>
        </w:rPr>
        <w:t xml:space="preserve">. </w:t>
      </w:r>
      <w:r w:rsidR="0A5A9C8B" w:rsidRPr="00A627C4">
        <w:rPr>
          <w:rFonts w:eastAsia="Times New Roman"/>
          <w:spacing w:val="-5"/>
        </w:rPr>
        <w:t xml:space="preserve">En </w:t>
      </w:r>
      <w:r w:rsidR="0311FA38" w:rsidRPr="00A627C4">
        <w:rPr>
          <w:rFonts w:eastAsia="Times New Roman"/>
          <w:spacing w:val="-5"/>
        </w:rPr>
        <w:t>l’espèce, M.</w:t>
      </w:r>
      <w:r w:rsidR="00644B0D">
        <w:rPr>
          <w:rFonts w:eastAsia="Times New Roman"/>
          <w:spacing w:val="-5"/>
        </w:rPr>
        <w:t> </w:t>
      </w:r>
      <w:r w:rsidR="0311FA38" w:rsidRPr="00A627C4">
        <w:rPr>
          <w:rFonts w:eastAsia="Times New Roman"/>
          <w:spacing w:val="-5"/>
        </w:rPr>
        <w:t>Chowdhury a agi sous contrainte, car il est devenu membre du PNB pour se protéger contre des menaces de révéler son homosexualité.</w:t>
      </w:r>
    </w:p>
    <w:p w14:paraId="79DD5294" w14:textId="5A9B1F80" w:rsidR="2F3BB458" w:rsidRPr="003B1FFE" w:rsidRDefault="750D9B20" w:rsidP="003B1FFE">
      <w:pPr>
        <w:pStyle w:val="ListParagraph"/>
        <w:numPr>
          <w:ilvl w:val="0"/>
          <w:numId w:val="7"/>
        </w:numPr>
        <w:spacing w:before="240" w:after="240" w:line="480" w:lineRule="auto"/>
        <w:ind w:left="0" w:firstLine="357"/>
        <w:jc w:val="both"/>
        <w:rPr>
          <w:rFonts w:eastAsia="Times New Roman"/>
          <w:spacing w:val="-5"/>
        </w:rPr>
      </w:pPr>
      <w:r w:rsidRPr="00A627C4">
        <w:rPr>
          <w:rFonts w:eastAsia="Times New Roman"/>
          <w:spacing w:val="-5"/>
        </w:rPr>
        <w:t>L’agent aurait dû définir «</w:t>
      </w:r>
      <w:r w:rsidR="00644B0D">
        <w:rPr>
          <w:rFonts w:eastAsia="Times New Roman"/>
          <w:spacing w:val="-5"/>
        </w:rPr>
        <w:t> </w:t>
      </w:r>
      <w:r w:rsidRPr="00A627C4">
        <w:rPr>
          <w:rFonts w:eastAsia="Times New Roman"/>
          <w:spacing w:val="-5"/>
        </w:rPr>
        <w:t>l’intention du demandeur, son degré de participation et son engagement envers le PNB avant l’adhésion officielle sous contrainte afin d’établir si l’affiliation officieuse du demandeur avant novembre 2013 équivalait à l’appartenan</w:t>
      </w:r>
      <w:r w:rsidR="00BE5634">
        <w:rPr>
          <w:rFonts w:eastAsia="Times New Roman"/>
          <w:spacing w:val="-5"/>
        </w:rPr>
        <w:t>ce</w:t>
      </w:r>
      <w:r w:rsidRPr="00A627C4">
        <w:rPr>
          <w:rFonts w:eastAsia="Times New Roman"/>
          <w:spacing w:val="-5"/>
        </w:rPr>
        <w:t xml:space="preserve"> à une organisation</w:t>
      </w:r>
      <w:r w:rsidR="00644B0D">
        <w:rPr>
          <w:rFonts w:eastAsia="Times New Roman"/>
          <w:spacing w:val="-5"/>
        </w:rPr>
        <w:t> </w:t>
      </w:r>
      <w:r w:rsidR="0B9D9DD2" w:rsidRPr="00A627C4">
        <w:rPr>
          <w:rFonts w:eastAsia="Times New Roman"/>
          <w:spacing w:val="-5"/>
        </w:rPr>
        <w:t>».</w:t>
      </w:r>
      <w:r w:rsidRPr="00A627C4">
        <w:rPr>
          <w:rFonts w:eastAsia="Times New Roman"/>
          <w:spacing w:val="-5"/>
        </w:rPr>
        <w:t xml:space="preserve"> Il a aussi failli à tenir en compte «</w:t>
      </w:r>
      <w:r w:rsidR="00644B0D">
        <w:rPr>
          <w:rFonts w:eastAsia="Times New Roman"/>
          <w:spacing w:val="-5"/>
        </w:rPr>
        <w:t> </w:t>
      </w:r>
      <w:r w:rsidRPr="00A627C4">
        <w:rPr>
          <w:rFonts w:eastAsia="Times New Roman"/>
          <w:spacing w:val="-5"/>
        </w:rPr>
        <w:t>la connaissance des méthodes et des objectifs de l’organisation, les intentions du participant et l’environnement ou le contexte dans lequel la participation s</w:t>
      </w:r>
      <w:r w:rsidR="00644B0D">
        <w:rPr>
          <w:rFonts w:eastAsia="Times New Roman"/>
          <w:spacing w:val="-5"/>
        </w:rPr>
        <w:t>’</w:t>
      </w:r>
      <w:r w:rsidRPr="00A627C4">
        <w:rPr>
          <w:rFonts w:eastAsia="Times New Roman"/>
          <w:spacing w:val="-5"/>
        </w:rPr>
        <w:t>est déroulée</w:t>
      </w:r>
      <w:r w:rsidR="00644B0D">
        <w:rPr>
          <w:rFonts w:eastAsia="Times New Roman"/>
          <w:spacing w:val="-5"/>
        </w:rPr>
        <w:t> </w:t>
      </w:r>
      <w:r w:rsidRPr="00A627C4">
        <w:rPr>
          <w:rFonts w:eastAsia="Times New Roman"/>
          <w:spacing w:val="-5"/>
        </w:rPr>
        <w:t>»</w:t>
      </w:r>
      <w:r w:rsidR="52227598" w:rsidRPr="00A627C4">
        <w:rPr>
          <w:rStyle w:val="FootnoteReference"/>
          <w:rFonts w:eastAsia="Times New Roman"/>
          <w:spacing w:val="-5"/>
        </w:rPr>
        <w:footnoteReference w:id="19"/>
      </w:r>
      <w:r w:rsidRPr="00A627C4">
        <w:rPr>
          <w:rFonts w:eastAsia="Times New Roman"/>
          <w:spacing w:val="-5"/>
        </w:rPr>
        <w:t>. Il faut aussi se demander si le fait de participer à des activités telles que la distribution de pamphlets et d’inciter des gens à voter pour un parti politique représente</w:t>
      </w:r>
      <w:r w:rsidR="00644B0D">
        <w:rPr>
          <w:rFonts w:eastAsia="Times New Roman"/>
          <w:spacing w:val="-5"/>
        </w:rPr>
        <w:t>nt</w:t>
      </w:r>
      <w:r w:rsidRPr="00A627C4">
        <w:rPr>
          <w:rFonts w:eastAsia="Times New Roman"/>
          <w:spacing w:val="-5"/>
        </w:rPr>
        <w:t xml:space="preserve"> un degré de participation assez élevé pour déterminer que le demandeur est visé par l’alinéa</w:t>
      </w:r>
      <w:r w:rsidR="00644B0D">
        <w:rPr>
          <w:rFonts w:eastAsia="Times New Roman"/>
          <w:spacing w:val="-5"/>
        </w:rPr>
        <w:t> </w:t>
      </w:r>
      <w:r w:rsidRPr="00A627C4">
        <w:rPr>
          <w:rFonts w:eastAsia="Times New Roman"/>
          <w:spacing w:val="-5"/>
        </w:rPr>
        <w:t>34</w:t>
      </w:r>
      <w:r w:rsidR="00644B0D">
        <w:rPr>
          <w:rFonts w:eastAsia="Times New Roman"/>
          <w:spacing w:val="-5"/>
        </w:rPr>
        <w:t xml:space="preserve"> </w:t>
      </w:r>
      <w:r w:rsidRPr="00A627C4">
        <w:rPr>
          <w:rFonts w:eastAsia="Times New Roman"/>
          <w:spacing w:val="-5"/>
        </w:rPr>
        <w:t>(1)</w:t>
      </w:r>
      <w:r w:rsidR="00644B0D">
        <w:rPr>
          <w:rFonts w:eastAsia="Times New Roman"/>
          <w:spacing w:val="-5"/>
        </w:rPr>
        <w:t xml:space="preserve"> </w:t>
      </w:r>
      <w:r w:rsidRPr="00A627C4">
        <w:rPr>
          <w:rFonts w:eastAsia="Times New Roman"/>
          <w:spacing w:val="-5"/>
        </w:rPr>
        <w:t>f) de la LIPR.</w:t>
      </w:r>
      <w:r w:rsidR="003B1FFE">
        <w:rPr>
          <w:rFonts w:eastAsia="Times New Roman"/>
          <w:spacing w:val="-5"/>
        </w:rPr>
        <w:t xml:space="preserve"> </w:t>
      </w:r>
      <w:r w:rsidR="7C19926E" w:rsidRPr="003B1FFE">
        <w:rPr>
          <w:rFonts w:eastAsia="Times New Roman"/>
          <w:spacing w:val="-5"/>
        </w:rPr>
        <w:t>L’agent n’a pas pris en compte la situation</w:t>
      </w:r>
      <w:r w:rsidR="00D03FF2" w:rsidRPr="003B1FFE">
        <w:rPr>
          <w:rFonts w:eastAsia="Times New Roman"/>
          <w:spacing w:val="-5"/>
        </w:rPr>
        <w:t xml:space="preserve"> </w:t>
      </w:r>
      <w:r w:rsidR="003B1FFE">
        <w:rPr>
          <w:rFonts w:eastAsia="Times New Roman"/>
          <w:spacing w:val="-5"/>
        </w:rPr>
        <w:t xml:space="preserve">particulière </w:t>
      </w:r>
      <w:r w:rsidR="7C19926E" w:rsidRPr="003B1FFE">
        <w:rPr>
          <w:rFonts w:eastAsia="Times New Roman"/>
          <w:spacing w:val="-5"/>
        </w:rPr>
        <w:t>du demandeur «</w:t>
      </w:r>
      <w:r w:rsidR="00644B0D">
        <w:rPr>
          <w:rFonts w:eastAsia="Times New Roman"/>
          <w:spacing w:val="-5"/>
        </w:rPr>
        <w:t> </w:t>
      </w:r>
      <w:r w:rsidR="7C19926E" w:rsidRPr="003B1FFE">
        <w:rPr>
          <w:rFonts w:eastAsia="Times New Roman"/>
          <w:spacing w:val="-5"/>
        </w:rPr>
        <w:t>en tant qu’homosexuel qui cache son orientation sexuelle dans un pays musulman et une société présentant des sentiments homophobes</w:t>
      </w:r>
      <w:r w:rsidR="00644B0D">
        <w:rPr>
          <w:rFonts w:eastAsia="Times New Roman"/>
          <w:spacing w:val="-5"/>
        </w:rPr>
        <w:t> </w:t>
      </w:r>
      <w:r w:rsidR="7C19926E" w:rsidRPr="003B1FFE">
        <w:rPr>
          <w:rFonts w:eastAsia="Times New Roman"/>
          <w:spacing w:val="-5"/>
        </w:rPr>
        <w:t>»</w:t>
      </w:r>
      <w:r w:rsidR="2F3BB458" w:rsidRPr="00A627C4">
        <w:rPr>
          <w:rStyle w:val="FootnoteReference"/>
          <w:rFonts w:eastAsia="Times New Roman"/>
          <w:spacing w:val="-5"/>
        </w:rPr>
        <w:footnoteReference w:id="20"/>
      </w:r>
      <w:r w:rsidR="7C19926E" w:rsidRPr="003B1FFE">
        <w:rPr>
          <w:rFonts w:eastAsia="Times New Roman"/>
          <w:spacing w:val="-5"/>
        </w:rPr>
        <w:t>.</w:t>
      </w:r>
    </w:p>
    <w:p w14:paraId="7E681DF9" w14:textId="0205757F" w:rsidR="2F3BB458" w:rsidRPr="00A627C4" w:rsidRDefault="333F01B8" w:rsidP="00B51673">
      <w:pPr>
        <w:pStyle w:val="ListParagraph"/>
        <w:numPr>
          <w:ilvl w:val="0"/>
          <w:numId w:val="7"/>
        </w:numPr>
        <w:spacing w:before="240" w:after="240" w:line="480" w:lineRule="auto"/>
        <w:ind w:left="0" w:firstLine="357"/>
        <w:jc w:val="both"/>
        <w:rPr>
          <w:rFonts w:eastAsia="Times New Roman"/>
          <w:spacing w:val="-5"/>
        </w:rPr>
      </w:pPr>
      <w:r w:rsidRPr="00A627C4">
        <w:rPr>
          <w:rFonts w:eastAsia="Times New Roman"/>
          <w:spacing w:val="-5"/>
        </w:rPr>
        <w:t>Le</w:t>
      </w:r>
      <w:r w:rsidR="7C19926E" w:rsidRPr="00A627C4">
        <w:rPr>
          <w:rFonts w:eastAsia="Times New Roman"/>
          <w:spacing w:val="-5"/>
        </w:rPr>
        <w:t xml:space="preserve"> demandeur n’avait pas un degré de participation assez élevé entre 2011 et novembre 2013 et était contraint d’être membre à partir de novembre 2013. Donc, </w:t>
      </w:r>
      <w:r w:rsidR="00644B0D">
        <w:rPr>
          <w:rFonts w:eastAsia="Times New Roman"/>
          <w:spacing w:val="-5"/>
        </w:rPr>
        <w:t xml:space="preserve">la </w:t>
      </w:r>
      <w:r w:rsidR="7C19926E" w:rsidRPr="00A627C4">
        <w:rPr>
          <w:rFonts w:eastAsia="Times New Roman"/>
          <w:spacing w:val="-5"/>
        </w:rPr>
        <w:t>«</w:t>
      </w:r>
      <w:r w:rsidR="00644B0D">
        <w:rPr>
          <w:rFonts w:eastAsia="Times New Roman"/>
          <w:spacing w:val="-5"/>
        </w:rPr>
        <w:t> </w:t>
      </w:r>
      <w:r w:rsidR="7C19926E" w:rsidRPr="00A627C4">
        <w:rPr>
          <w:rFonts w:eastAsia="Times New Roman"/>
          <w:spacing w:val="-5"/>
        </w:rPr>
        <w:t>décision de l’agent est déraisonnable et doit être annulée</w:t>
      </w:r>
      <w:r w:rsidR="00644B0D">
        <w:rPr>
          <w:rFonts w:eastAsia="Times New Roman"/>
          <w:spacing w:val="-5"/>
        </w:rPr>
        <w:t> </w:t>
      </w:r>
      <w:r w:rsidR="7C19926E" w:rsidRPr="00A627C4">
        <w:rPr>
          <w:rFonts w:eastAsia="Times New Roman"/>
          <w:spacing w:val="-5"/>
        </w:rPr>
        <w:t>»</w:t>
      </w:r>
      <w:r w:rsidR="2F3BB458" w:rsidRPr="00A627C4">
        <w:rPr>
          <w:rStyle w:val="FootnoteReference"/>
          <w:rFonts w:eastAsia="Times New Roman"/>
          <w:spacing w:val="-5"/>
        </w:rPr>
        <w:footnoteReference w:id="21"/>
      </w:r>
      <w:r w:rsidR="63AB5529" w:rsidRPr="745D220B">
        <w:rPr>
          <w:rFonts w:eastAsia="Times New Roman"/>
        </w:rPr>
        <w:t>.</w:t>
      </w:r>
    </w:p>
    <w:p w14:paraId="492F8267" w14:textId="11372B76" w:rsidR="08ABC2AF" w:rsidRPr="00B13E36" w:rsidRDefault="08ABC2AF" w:rsidP="00B13E36">
      <w:pPr>
        <w:pStyle w:val="ListParagraph"/>
        <w:numPr>
          <w:ilvl w:val="1"/>
          <w:numId w:val="8"/>
        </w:numPr>
        <w:spacing w:before="240" w:after="240" w:line="240" w:lineRule="auto"/>
        <w:jc w:val="both"/>
        <w:rPr>
          <w:rFonts w:eastAsia="Times New Roman"/>
          <w:b/>
          <w:spacing w:val="-5"/>
        </w:rPr>
      </w:pPr>
      <w:r w:rsidRPr="00B13E36">
        <w:rPr>
          <w:rFonts w:eastAsia="Times New Roman"/>
          <w:b/>
          <w:bCs/>
          <w:spacing w:val="-5"/>
        </w:rPr>
        <w:t>L’agent a commis une erreur en concluant que le PNB en tant que parti politique tombe sous le coup de l’alinéa 34</w:t>
      </w:r>
      <w:r w:rsidR="00644B0D">
        <w:rPr>
          <w:rFonts w:eastAsia="Times New Roman"/>
          <w:b/>
          <w:bCs/>
          <w:spacing w:val="-5"/>
        </w:rPr>
        <w:t xml:space="preserve"> </w:t>
      </w:r>
      <w:r w:rsidRPr="00B13E36">
        <w:rPr>
          <w:rFonts w:eastAsia="Times New Roman"/>
          <w:b/>
          <w:bCs/>
          <w:spacing w:val="-5"/>
        </w:rPr>
        <w:t>(1)</w:t>
      </w:r>
      <w:r w:rsidR="00644B0D">
        <w:rPr>
          <w:rFonts w:eastAsia="Times New Roman"/>
          <w:b/>
          <w:bCs/>
          <w:spacing w:val="-5"/>
        </w:rPr>
        <w:t xml:space="preserve"> </w:t>
      </w:r>
      <w:r w:rsidRPr="00B13E36">
        <w:rPr>
          <w:rFonts w:eastAsia="Times New Roman"/>
          <w:b/>
          <w:bCs/>
          <w:spacing w:val="-5"/>
        </w:rPr>
        <w:t>b)</w:t>
      </w:r>
    </w:p>
    <w:p w14:paraId="3775170E" w14:textId="4DA808A8" w:rsidR="08ABC2AF" w:rsidRPr="00A627C4" w:rsidRDefault="27AA4EDA" w:rsidP="00B51673">
      <w:pPr>
        <w:pStyle w:val="ListParagraph"/>
        <w:numPr>
          <w:ilvl w:val="0"/>
          <w:numId w:val="7"/>
        </w:numPr>
        <w:spacing w:before="240" w:after="240" w:line="480" w:lineRule="auto"/>
        <w:ind w:left="0" w:firstLine="357"/>
        <w:jc w:val="both"/>
        <w:rPr>
          <w:spacing w:val="-5"/>
        </w:rPr>
      </w:pPr>
      <w:r w:rsidRPr="00A627C4">
        <w:rPr>
          <w:rFonts w:eastAsia="Times New Roman"/>
          <w:spacing w:val="-5"/>
        </w:rPr>
        <w:t xml:space="preserve">Selon la juge </w:t>
      </w:r>
      <w:r w:rsidR="540E0BAF" w:rsidRPr="00A627C4">
        <w:rPr>
          <w:rFonts w:eastAsia="Times New Roman"/>
          <w:spacing w:val="-5"/>
        </w:rPr>
        <w:t>Jagger</w:t>
      </w:r>
      <w:r w:rsidRPr="00A627C4">
        <w:rPr>
          <w:rFonts w:eastAsia="Times New Roman"/>
          <w:spacing w:val="-5"/>
        </w:rPr>
        <w:t>, l’agent a commis une erreur en jugeant que le PNB est une organisation qui est l’instigatrice ou l’aut</w:t>
      </w:r>
      <w:r w:rsidR="00A2155F">
        <w:rPr>
          <w:rFonts w:eastAsia="Times New Roman"/>
          <w:spacing w:val="-5"/>
        </w:rPr>
        <w:t>rice</w:t>
      </w:r>
      <w:r w:rsidRPr="00A627C4">
        <w:rPr>
          <w:rFonts w:eastAsia="Times New Roman"/>
          <w:spacing w:val="-5"/>
        </w:rPr>
        <w:t xml:space="preserve"> d’actes visant au renversement du gouvernement du Bangladesh par la force en vertu de l’alinéa 34</w:t>
      </w:r>
      <w:r w:rsidR="00644B0D">
        <w:rPr>
          <w:rFonts w:eastAsia="Times New Roman"/>
          <w:spacing w:val="-5"/>
        </w:rPr>
        <w:t xml:space="preserve"> </w:t>
      </w:r>
      <w:r w:rsidRPr="00A627C4">
        <w:rPr>
          <w:rFonts w:eastAsia="Times New Roman"/>
          <w:spacing w:val="-5"/>
        </w:rPr>
        <w:t>(1)</w:t>
      </w:r>
      <w:r w:rsidR="00644B0D">
        <w:rPr>
          <w:rFonts w:eastAsia="Times New Roman"/>
          <w:spacing w:val="-5"/>
        </w:rPr>
        <w:t xml:space="preserve"> </w:t>
      </w:r>
      <w:r w:rsidRPr="00A627C4">
        <w:rPr>
          <w:rFonts w:eastAsia="Times New Roman"/>
          <w:spacing w:val="-5"/>
        </w:rPr>
        <w:t>b) de la LIPR.</w:t>
      </w:r>
    </w:p>
    <w:p w14:paraId="16A59F97" w14:textId="142B43CF" w:rsidR="08ABC2AF" w:rsidRPr="00A627C4" w:rsidRDefault="27AA4EDA" w:rsidP="00B51673">
      <w:pPr>
        <w:pStyle w:val="ListParagraph"/>
        <w:numPr>
          <w:ilvl w:val="0"/>
          <w:numId w:val="7"/>
        </w:numPr>
        <w:spacing w:before="240" w:after="240" w:line="480" w:lineRule="auto"/>
        <w:ind w:left="0" w:firstLine="357"/>
        <w:jc w:val="both"/>
        <w:rPr>
          <w:spacing w:val="-5"/>
        </w:rPr>
      </w:pPr>
      <w:r w:rsidRPr="00A627C4">
        <w:rPr>
          <w:rFonts w:eastAsia="Times New Roman"/>
          <w:spacing w:val="-5"/>
        </w:rPr>
        <w:t>Le législateur avait l’intention que l’expression «</w:t>
      </w:r>
      <w:r w:rsidR="00644B0D">
        <w:rPr>
          <w:rFonts w:eastAsia="Times New Roman"/>
          <w:spacing w:val="-5"/>
        </w:rPr>
        <w:t> </w:t>
      </w:r>
      <w:r w:rsidRPr="00A627C4">
        <w:rPr>
          <w:rFonts w:eastAsia="Times New Roman"/>
          <w:spacing w:val="-5"/>
        </w:rPr>
        <w:t>renversement d’un gouvernement par la force</w:t>
      </w:r>
      <w:r w:rsidR="00644B0D">
        <w:rPr>
          <w:rFonts w:eastAsia="Times New Roman"/>
          <w:spacing w:val="-5"/>
        </w:rPr>
        <w:t> </w:t>
      </w:r>
      <w:r w:rsidRPr="00A627C4">
        <w:rPr>
          <w:rFonts w:eastAsia="Times New Roman"/>
          <w:spacing w:val="-5"/>
        </w:rPr>
        <w:t>» «</w:t>
      </w:r>
      <w:r w:rsidR="00644B0D">
        <w:rPr>
          <w:rFonts w:eastAsia="Times New Roman"/>
          <w:spacing w:val="-5"/>
        </w:rPr>
        <w:t> </w:t>
      </w:r>
      <w:r w:rsidRPr="00A627C4">
        <w:rPr>
          <w:rFonts w:eastAsia="Times New Roman"/>
          <w:spacing w:val="-5"/>
        </w:rPr>
        <w:t>soit appliquée de façon large et relativement à des régimes non démocratiques et despotiques</w:t>
      </w:r>
      <w:r w:rsidR="00644B0D">
        <w:rPr>
          <w:rFonts w:eastAsia="Times New Roman"/>
          <w:spacing w:val="-5"/>
        </w:rPr>
        <w:t> </w:t>
      </w:r>
      <w:r w:rsidRPr="00A627C4">
        <w:rPr>
          <w:rFonts w:eastAsia="Times New Roman"/>
          <w:spacing w:val="-5"/>
        </w:rPr>
        <w:t>»</w:t>
      </w:r>
      <w:r w:rsidR="08ABC2AF" w:rsidRPr="00A627C4">
        <w:rPr>
          <w:rStyle w:val="FootnoteReference"/>
          <w:rFonts w:eastAsia="Times New Roman"/>
          <w:spacing w:val="-5"/>
        </w:rPr>
        <w:footnoteReference w:id="22"/>
      </w:r>
      <w:r w:rsidRPr="00A627C4">
        <w:rPr>
          <w:rFonts w:eastAsia="Times New Roman"/>
          <w:spacing w:val="-5"/>
        </w:rPr>
        <w:t xml:space="preserve">, ce qui n’est pas le cas à l’espèce. </w:t>
      </w:r>
      <w:r w:rsidR="1B4A3CC4" w:rsidRPr="00A627C4">
        <w:rPr>
          <w:rFonts w:eastAsia="Times New Roman"/>
          <w:spacing w:val="-5"/>
        </w:rPr>
        <w:t xml:space="preserve">Il </w:t>
      </w:r>
      <w:r w:rsidRPr="00A627C4">
        <w:rPr>
          <w:rFonts w:eastAsia="Times New Roman"/>
          <w:spacing w:val="-5"/>
        </w:rPr>
        <w:t xml:space="preserve">faut y avoir une intention de renversement par la force, une utilisation intentionnelle de la force, de la violence ou de moyens criminels ou des actes illicites ou illégitimes. Cependant, il n’y a qu’un lien présumé entre la violence des </w:t>
      </w:r>
      <w:r w:rsidRPr="2B8955E1">
        <w:rPr>
          <w:rFonts w:eastAsia="Times New Roman"/>
          <w:i/>
          <w:iCs/>
          <w:spacing w:val="-5"/>
        </w:rPr>
        <w:t>hartals</w:t>
      </w:r>
      <w:r w:rsidRPr="00A627C4">
        <w:rPr>
          <w:rFonts w:eastAsia="Times New Roman"/>
          <w:spacing w:val="-5"/>
        </w:rPr>
        <w:t xml:space="preserve"> et l’intention de renverser le gouvernement. La juge </w:t>
      </w:r>
      <w:r w:rsidR="540E0BAF" w:rsidRPr="00A627C4">
        <w:rPr>
          <w:rFonts w:eastAsia="Times New Roman"/>
          <w:spacing w:val="-5"/>
        </w:rPr>
        <w:t>Jagger</w:t>
      </w:r>
      <w:r w:rsidRPr="00A627C4">
        <w:rPr>
          <w:rFonts w:eastAsia="Times New Roman"/>
          <w:spacing w:val="-5"/>
        </w:rPr>
        <w:t xml:space="preserve"> est d’avis que la preuve présentée par le défendeur ne démontre pas une intention de renverser le gouvernement par la force. De plus, il y avait des actes de violence qui ne pouvaient être attribués aux membres du PNB. Dans tous les cas, les actes de violence ne p</w:t>
      </w:r>
      <w:r w:rsidR="69AE0C13" w:rsidRPr="00A627C4">
        <w:rPr>
          <w:rFonts w:eastAsia="Times New Roman"/>
          <w:spacing w:val="-5"/>
        </w:rPr>
        <w:t>ouvaient</w:t>
      </w:r>
      <w:r w:rsidRPr="00A627C4">
        <w:rPr>
          <w:rFonts w:eastAsia="Times New Roman"/>
          <w:spacing w:val="-5"/>
        </w:rPr>
        <w:t xml:space="preserve"> pas constituer en soi une preuve concernant l’intention du PNB de renvers</w:t>
      </w:r>
      <w:r w:rsidR="69AE0C13" w:rsidRPr="00A627C4">
        <w:rPr>
          <w:rFonts w:eastAsia="Times New Roman"/>
          <w:spacing w:val="-5"/>
        </w:rPr>
        <w:t>er</w:t>
      </w:r>
      <w:r w:rsidRPr="00A627C4">
        <w:rPr>
          <w:rFonts w:eastAsia="Times New Roman"/>
          <w:spacing w:val="-5"/>
        </w:rPr>
        <w:t xml:space="preserve"> </w:t>
      </w:r>
      <w:r w:rsidR="69AE0C13" w:rsidRPr="00A627C4">
        <w:rPr>
          <w:rFonts w:eastAsia="Times New Roman"/>
          <w:spacing w:val="-5"/>
        </w:rPr>
        <w:t>le</w:t>
      </w:r>
      <w:r w:rsidRPr="00A627C4">
        <w:rPr>
          <w:rFonts w:eastAsia="Times New Roman"/>
          <w:spacing w:val="-5"/>
        </w:rPr>
        <w:t xml:space="preserve"> gouvernement par la force. Le lien de causalité entre les </w:t>
      </w:r>
      <w:r w:rsidRPr="2B8955E1">
        <w:rPr>
          <w:rFonts w:eastAsia="Times New Roman"/>
          <w:i/>
          <w:iCs/>
          <w:spacing w:val="-5"/>
        </w:rPr>
        <w:t>hartals</w:t>
      </w:r>
      <w:r w:rsidRPr="00A627C4">
        <w:rPr>
          <w:rFonts w:eastAsia="Times New Roman"/>
          <w:spacing w:val="-5"/>
        </w:rPr>
        <w:t xml:space="preserve"> et les actes de violence n’est pas suffisant</w:t>
      </w:r>
      <w:r w:rsidR="08ABC2AF" w:rsidRPr="00A627C4">
        <w:rPr>
          <w:rStyle w:val="FootnoteReference"/>
          <w:rFonts w:eastAsia="Times New Roman"/>
          <w:spacing w:val="-5"/>
        </w:rPr>
        <w:footnoteReference w:id="23"/>
      </w:r>
      <w:r w:rsidRPr="00A627C4">
        <w:rPr>
          <w:rFonts w:eastAsia="Times New Roman"/>
          <w:spacing w:val="-5"/>
        </w:rPr>
        <w:t>.</w:t>
      </w:r>
    </w:p>
    <w:p w14:paraId="4EF94C57" w14:textId="59DFAE88" w:rsidR="359411A2" w:rsidRPr="00A627C4" w:rsidRDefault="4383325F" w:rsidP="00B51673">
      <w:pPr>
        <w:pStyle w:val="ListParagraph"/>
        <w:numPr>
          <w:ilvl w:val="0"/>
          <w:numId w:val="7"/>
        </w:numPr>
        <w:spacing w:before="240" w:after="240" w:line="480" w:lineRule="auto"/>
        <w:ind w:left="0" w:firstLine="357"/>
        <w:jc w:val="both"/>
        <w:rPr>
          <w:spacing w:val="-5"/>
        </w:rPr>
      </w:pPr>
      <w:r w:rsidRPr="00A627C4">
        <w:rPr>
          <w:rFonts w:eastAsia="Times New Roman"/>
          <w:spacing w:val="-5"/>
        </w:rPr>
        <w:t>Il est important de préciser que le PNB est un parti politique reconnu et légitime au Bangladesh qui a déjà formé le gouvernement une multitude de fois dans les 30 dernières années. Ainsi, le PNB n’est pas une organisation nationale ou transnationale qui mène activités à l’extérieur de la sphère politique et démocratique du Bangladesh</w:t>
      </w:r>
      <w:r w:rsidR="359411A2" w:rsidRPr="00A627C4">
        <w:rPr>
          <w:rStyle w:val="FootnoteReference"/>
          <w:rFonts w:eastAsia="Times New Roman"/>
          <w:spacing w:val="-5"/>
        </w:rPr>
        <w:footnoteReference w:id="24"/>
      </w:r>
      <w:r w:rsidRPr="00A627C4">
        <w:rPr>
          <w:rFonts w:eastAsia="Times New Roman"/>
          <w:spacing w:val="-5"/>
        </w:rPr>
        <w:t xml:space="preserve">. </w:t>
      </w:r>
    </w:p>
    <w:p w14:paraId="5FBF40F4" w14:textId="5AD50961" w:rsidR="359411A2" w:rsidRPr="00A627C4" w:rsidRDefault="4383325F" w:rsidP="00B51673">
      <w:pPr>
        <w:pStyle w:val="ListParagraph"/>
        <w:numPr>
          <w:ilvl w:val="0"/>
          <w:numId w:val="7"/>
        </w:numPr>
        <w:spacing w:before="240" w:after="240" w:line="480" w:lineRule="auto"/>
        <w:ind w:left="0" w:firstLine="357"/>
        <w:jc w:val="both"/>
        <w:rPr>
          <w:rFonts w:eastAsia="Times New Roman"/>
          <w:spacing w:val="-5"/>
        </w:rPr>
      </w:pPr>
      <w:r w:rsidRPr="00A627C4">
        <w:rPr>
          <w:rFonts w:eastAsia="Times New Roman"/>
          <w:spacing w:val="-5"/>
        </w:rPr>
        <w:t>Le</w:t>
      </w:r>
      <w:r w:rsidR="00644B0D">
        <w:rPr>
          <w:rFonts w:eastAsia="Times New Roman"/>
          <w:spacing w:val="-5"/>
        </w:rPr>
        <w:t>s</w:t>
      </w:r>
      <w:r w:rsidRPr="00A627C4">
        <w:rPr>
          <w:rFonts w:eastAsia="Times New Roman"/>
          <w:spacing w:val="-5"/>
        </w:rPr>
        <w:t xml:space="preserve"> </w:t>
      </w:r>
      <w:r w:rsidRPr="07ABB96B">
        <w:rPr>
          <w:rFonts w:eastAsia="Times New Roman"/>
          <w:i/>
          <w:iCs/>
          <w:spacing w:val="-5"/>
        </w:rPr>
        <w:t>hartals</w:t>
      </w:r>
      <w:r w:rsidRPr="00A627C4">
        <w:rPr>
          <w:rFonts w:eastAsia="Times New Roman"/>
          <w:spacing w:val="-5"/>
        </w:rPr>
        <w:t xml:space="preserve"> sont des grèves ou des manifestations de masse. En effet, «</w:t>
      </w:r>
      <w:r w:rsidR="00644B0D">
        <w:rPr>
          <w:rFonts w:eastAsia="Times New Roman"/>
          <w:spacing w:val="-5"/>
        </w:rPr>
        <w:t> </w:t>
      </w:r>
      <w:r w:rsidRPr="00A627C4">
        <w:rPr>
          <w:rFonts w:eastAsia="Times New Roman"/>
          <w:spacing w:val="-5"/>
        </w:rPr>
        <w:t>les manifestations ou les grèves sont perçues comme étant une forme légitime d’expression politique, et elles font partie du processus démocratique</w:t>
      </w:r>
      <w:r w:rsidR="359411A2" w:rsidRPr="00A627C4">
        <w:rPr>
          <w:rStyle w:val="FootnoteReference"/>
          <w:rFonts w:eastAsia="Times New Roman"/>
          <w:spacing w:val="-5"/>
        </w:rPr>
        <w:footnoteReference w:id="25"/>
      </w:r>
      <w:r w:rsidR="00644B0D">
        <w:rPr>
          <w:rFonts w:eastAsia="Times New Roman"/>
          <w:spacing w:val="-5"/>
        </w:rPr>
        <w:t> </w:t>
      </w:r>
      <w:r w:rsidRPr="00A627C4">
        <w:rPr>
          <w:rFonts w:eastAsia="Times New Roman"/>
          <w:spacing w:val="-5"/>
        </w:rPr>
        <w:t xml:space="preserve">» au </w:t>
      </w:r>
      <w:r w:rsidR="707B5C6C" w:rsidRPr="00A627C4">
        <w:rPr>
          <w:rFonts w:eastAsia="Times New Roman"/>
          <w:spacing w:val="-5"/>
        </w:rPr>
        <w:t xml:space="preserve">Bangladesh comme au </w:t>
      </w:r>
      <w:r w:rsidRPr="00A627C4">
        <w:rPr>
          <w:rFonts w:eastAsia="Times New Roman"/>
          <w:spacing w:val="-5"/>
        </w:rPr>
        <w:t xml:space="preserve">Canada. Il est aussi important de préciser que l’appel aux </w:t>
      </w:r>
      <w:r w:rsidRPr="07ABB96B">
        <w:rPr>
          <w:rFonts w:eastAsia="Times New Roman"/>
          <w:i/>
          <w:iCs/>
          <w:spacing w:val="-5"/>
        </w:rPr>
        <w:t>hartals</w:t>
      </w:r>
      <w:r w:rsidRPr="00A627C4">
        <w:rPr>
          <w:rFonts w:eastAsia="Times New Roman"/>
          <w:spacing w:val="-5"/>
        </w:rPr>
        <w:t xml:space="preserve"> a été fait par un parti démocratique et que les accusations de l’agent sont préoccupantes, car il se prononce sur la vie politique dans un pays démocratique, ce qui dépasse largement son rôle en tant qu’agent de l’ASFC.</w:t>
      </w:r>
    </w:p>
    <w:p w14:paraId="6763E3FD" w14:textId="6673F702" w:rsidR="359411A2" w:rsidRPr="00A627C4" w:rsidRDefault="359411A2" w:rsidP="00652243">
      <w:pPr>
        <w:pStyle w:val="ListParagraph"/>
        <w:numPr>
          <w:ilvl w:val="0"/>
          <w:numId w:val="8"/>
        </w:numPr>
        <w:spacing w:before="240" w:after="240" w:line="480" w:lineRule="auto"/>
        <w:jc w:val="both"/>
        <w:rPr>
          <w:rFonts w:eastAsia="Times New Roman"/>
          <w:b/>
          <w:spacing w:val="-5"/>
        </w:rPr>
      </w:pPr>
      <w:r w:rsidRPr="00A627C4">
        <w:rPr>
          <w:rFonts w:eastAsia="Times New Roman"/>
          <w:b/>
          <w:bCs/>
          <w:spacing w:val="-5"/>
        </w:rPr>
        <w:t xml:space="preserve">Critère de certification et certification de questions </w:t>
      </w:r>
    </w:p>
    <w:p w14:paraId="0EFC5B3D" w14:textId="3860376C" w:rsidR="359411A2" w:rsidRPr="00A627C4" w:rsidRDefault="4383325F" w:rsidP="00B51673">
      <w:pPr>
        <w:pStyle w:val="ListParagraph"/>
        <w:numPr>
          <w:ilvl w:val="0"/>
          <w:numId w:val="7"/>
        </w:numPr>
        <w:spacing w:before="240" w:after="240" w:line="480" w:lineRule="auto"/>
        <w:ind w:left="0" w:firstLine="357"/>
        <w:jc w:val="both"/>
        <w:rPr>
          <w:spacing w:val="-5"/>
        </w:rPr>
      </w:pPr>
      <w:r w:rsidRPr="00A627C4">
        <w:rPr>
          <w:rFonts w:eastAsia="Times New Roman"/>
          <w:spacing w:val="-5"/>
        </w:rPr>
        <w:t xml:space="preserve">La juge </w:t>
      </w:r>
      <w:r w:rsidR="540E0BAF" w:rsidRPr="00A627C4">
        <w:rPr>
          <w:rFonts w:eastAsia="Times New Roman"/>
          <w:spacing w:val="-5"/>
        </w:rPr>
        <w:t>Jagger</w:t>
      </w:r>
      <w:r w:rsidRPr="00A627C4">
        <w:rPr>
          <w:rFonts w:eastAsia="Times New Roman"/>
          <w:spacing w:val="-5"/>
        </w:rPr>
        <w:t xml:space="preserve"> certifie les deux questions suivantes proposées par le demandeur</w:t>
      </w:r>
      <w:r w:rsidR="00644B0D">
        <w:rPr>
          <w:rFonts w:eastAsia="Times New Roman"/>
          <w:spacing w:val="-5"/>
        </w:rPr>
        <w:t> </w:t>
      </w:r>
      <w:r w:rsidRPr="00A627C4">
        <w:rPr>
          <w:rFonts w:eastAsia="Times New Roman"/>
          <w:spacing w:val="-5"/>
        </w:rPr>
        <w:t xml:space="preserve">: </w:t>
      </w:r>
    </w:p>
    <w:p w14:paraId="45871184" w14:textId="1A2644CB" w:rsidR="359411A2" w:rsidRPr="00A627C4" w:rsidRDefault="359411A2" w:rsidP="005E77ED">
      <w:pPr>
        <w:pStyle w:val="ListParagraph"/>
        <w:numPr>
          <w:ilvl w:val="0"/>
          <w:numId w:val="12"/>
        </w:numPr>
        <w:spacing w:before="240" w:after="240" w:line="240" w:lineRule="auto"/>
        <w:ind w:left="284" w:right="284" w:firstLine="113"/>
        <w:jc w:val="both"/>
        <w:rPr>
          <w:rFonts w:eastAsia="Times New Roman"/>
          <w:i/>
          <w:iCs/>
          <w:spacing w:val="-5"/>
        </w:rPr>
      </w:pPr>
      <w:r w:rsidRPr="00A627C4">
        <w:rPr>
          <w:i/>
          <w:iCs/>
          <w:spacing w:val="-5"/>
        </w:rPr>
        <w:t>Une organisation qui exerce une fonction démocratique légitime en tant que parti politique peut-elle tomber sous le coup de l’alinéa 34</w:t>
      </w:r>
      <w:r w:rsidR="00644B0D">
        <w:rPr>
          <w:i/>
          <w:iCs/>
          <w:spacing w:val="-5"/>
        </w:rPr>
        <w:t xml:space="preserve"> </w:t>
      </w:r>
      <w:r w:rsidRPr="00A627C4">
        <w:rPr>
          <w:i/>
          <w:iCs/>
          <w:spacing w:val="-5"/>
        </w:rPr>
        <w:t>(1)</w:t>
      </w:r>
      <w:r w:rsidR="00644B0D">
        <w:rPr>
          <w:i/>
          <w:iCs/>
          <w:spacing w:val="-5"/>
        </w:rPr>
        <w:t xml:space="preserve"> </w:t>
      </w:r>
      <w:r w:rsidRPr="00A627C4">
        <w:rPr>
          <w:i/>
          <w:iCs/>
          <w:spacing w:val="-5"/>
        </w:rPr>
        <w:t>b) de la LIPR en tant qu’organisation pour laquelle il y a des motifs raisonnables de croire qu’elle est l’instigatrice ou l’aut</w:t>
      </w:r>
      <w:r w:rsidR="00A2155F">
        <w:rPr>
          <w:i/>
          <w:iCs/>
          <w:spacing w:val="-5"/>
        </w:rPr>
        <w:t>rice</w:t>
      </w:r>
      <w:r w:rsidRPr="00A627C4">
        <w:rPr>
          <w:i/>
          <w:iCs/>
          <w:spacing w:val="-5"/>
        </w:rPr>
        <w:t xml:space="preserve"> d’actes visant au renversement d’un gouvernement par la force</w:t>
      </w:r>
      <w:r w:rsidR="00644B0D">
        <w:rPr>
          <w:i/>
          <w:iCs/>
          <w:spacing w:val="-5"/>
        </w:rPr>
        <w:t> </w:t>
      </w:r>
      <w:r w:rsidRPr="00A627C4">
        <w:rPr>
          <w:i/>
          <w:iCs/>
          <w:spacing w:val="-5"/>
        </w:rPr>
        <w:t>?</w:t>
      </w:r>
    </w:p>
    <w:p w14:paraId="010E6EF3" w14:textId="77777777" w:rsidR="005E77ED" w:rsidRPr="00A627C4" w:rsidRDefault="005E77ED" w:rsidP="005E77ED">
      <w:pPr>
        <w:pStyle w:val="ListParagraph"/>
        <w:spacing w:before="240" w:after="240" w:line="240" w:lineRule="auto"/>
        <w:ind w:left="397" w:right="284"/>
        <w:jc w:val="both"/>
        <w:rPr>
          <w:rFonts w:eastAsia="Times New Roman"/>
          <w:i/>
          <w:iCs/>
          <w:spacing w:val="-5"/>
        </w:rPr>
      </w:pPr>
    </w:p>
    <w:p w14:paraId="2E3CFAE7" w14:textId="64C14191" w:rsidR="005E77ED" w:rsidRPr="00A627C4" w:rsidRDefault="359411A2" w:rsidP="005E77ED">
      <w:pPr>
        <w:pStyle w:val="ListParagraph"/>
        <w:numPr>
          <w:ilvl w:val="0"/>
          <w:numId w:val="12"/>
        </w:numPr>
        <w:spacing w:before="240" w:after="240" w:line="240" w:lineRule="auto"/>
        <w:ind w:left="284" w:right="284" w:firstLine="113"/>
        <w:jc w:val="both"/>
        <w:rPr>
          <w:i/>
          <w:iCs/>
          <w:spacing w:val="-5"/>
        </w:rPr>
      </w:pPr>
      <w:r w:rsidRPr="00A627C4">
        <w:rPr>
          <w:i/>
          <w:iCs/>
          <w:spacing w:val="-5"/>
        </w:rPr>
        <w:t>La preuve indiquant qu’il y a eu contrainte peut-elle annuler une conclusion selon laquelle il y avait appartenance à une organisation en application de l’alinéa</w:t>
      </w:r>
      <w:r w:rsidR="00644B0D">
        <w:rPr>
          <w:i/>
          <w:iCs/>
          <w:spacing w:val="-5"/>
        </w:rPr>
        <w:t> </w:t>
      </w:r>
      <w:r w:rsidRPr="00A627C4">
        <w:rPr>
          <w:i/>
          <w:iCs/>
          <w:spacing w:val="-5"/>
        </w:rPr>
        <w:t>34</w:t>
      </w:r>
      <w:r w:rsidR="00644B0D">
        <w:rPr>
          <w:i/>
          <w:iCs/>
          <w:spacing w:val="-5"/>
        </w:rPr>
        <w:t xml:space="preserve"> </w:t>
      </w:r>
      <w:r w:rsidRPr="00A627C4">
        <w:rPr>
          <w:i/>
          <w:iCs/>
          <w:spacing w:val="-5"/>
        </w:rPr>
        <w:t>(1)</w:t>
      </w:r>
      <w:r w:rsidR="00644B0D">
        <w:rPr>
          <w:i/>
          <w:iCs/>
          <w:spacing w:val="-5"/>
        </w:rPr>
        <w:t xml:space="preserve"> </w:t>
      </w:r>
      <w:r w:rsidRPr="00A627C4">
        <w:rPr>
          <w:i/>
          <w:iCs/>
          <w:spacing w:val="-5"/>
        </w:rPr>
        <w:t>f)</w:t>
      </w:r>
      <w:r w:rsidR="00644B0D">
        <w:rPr>
          <w:i/>
          <w:iCs/>
          <w:spacing w:val="-5"/>
        </w:rPr>
        <w:t> </w:t>
      </w:r>
      <w:r w:rsidRPr="00A627C4">
        <w:rPr>
          <w:i/>
          <w:iCs/>
          <w:spacing w:val="-5"/>
        </w:rPr>
        <w:t>?</w:t>
      </w:r>
    </w:p>
    <w:p w14:paraId="776664FB" w14:textId="77777777" w:rsidR="005E77ED" w:rsidRPr="00A627C4" w:rsidRDefault="005E77ED" w:rsidP="005E77ED">
      <w:pPr>
        <w:pStyle w:val="ListParagraph"/>
        <w:spacing w:before="240" w:after="240" w:line="240" w:lineRule="auto"/>
        <w:ind w:left="397" w:right="284"/>
        <w:jc w:val="both"/>
        <w:rPr>
          <w:i/>
          <w:iCs/>
          <w:spacing w:val="-5"/>
        </w:rPr>
      </w:pPr>
    </w:p>
    <w:p w14:paraId="08463696" w14:textId="0E7CBAF6" w:rsidR="359411A2" w:rsidRPr="00A627C4" w:rsidRDefault="4383325F" w:rsidP="00B51673">
      <w:pPr>
        <w:pStyle w:val="ListParagraph"/>
        <w:numPr>
          <w:ilvl w:val="0"/>
          <w:numId w:val="7"/>
        </w:numPr>
        <w:spacing w:before="240" w:after="240" w:line="480" w:lineRule="auto"/>
        <w:ind w:left="0" w:firstLine="357"/>
        <w:jc w:val="both"/>
        <w:rPr>
          <w:spacing w:val="-5"/>
        </w:rPr>
      </w:pPr>
      <w:r w:rsidRPr="00A627C4">
        <w:rPr>
          <w:rFonts w:eastAsia="Times New Roman"/>
          <w:spacing w:val="-5"/>
        </w:rPr>
        <w:t>En ce qui concerne la première question, le demandeur «</w:t>
      </w:r>
      <w:r w:rsidR="00644B0D">
        <w:rPr>
          <w:rFonts w:eastAsia="Times New Roman"/>
          <w:spacing w:val="-5"/>
        </w:rPr>
        <w:t> </w:t>
      </w:r>
      <w:r w:rsidRPr="00A627C4">
        <w:rPr>
          <w:rFonts w:eastAsia="Times New Roman"/>
          <w:spacing w:val="-5"/>
        </w:rPr>
        <w:t>soulève une question légitime en matière d’interprétation des lois qui justifie que la Cour d’appel y prête attention, particulièrement à la lumière des protections de la liberté d’association et de la liberté d’expression politique énoncées à la section</w:t>
      </w:r>
      <w:r w:rsidR="00644B0D">
        <w:rPr>
          <w:rFonts w:eastAsia="Times New Roman"/>
          <w:spacing w:val="-5"/>
        </w:rPr>
        <w:t> </w:t>
      </w:r>
      <w:r w:rsidRPr="00A627C4">
        <w:rPr>
          <w:rFonts w:eastAsia="Times New Roman"/>
          <w:spacing w:val="-5"/>
        </w:rPr>
        <w:t xml:space="preserve">2 de la </w:t>
      </w:r>
      <w:r w:rsidRPr="07ABB96B">
        <w:rPr>
          <w:rFonts w:eastAsia="Times New Roman"/>
          <w:i/>
          <w:iCs/>
          <w:spacing w:val="-5"/>
        </w:rPr>
        <w:t>Charte</w:t>
      </w:r>
      <w:r w:rsidR="00644B0D">
        <w:rPr>
          <w:rFonts w:eastAsia="Times New Roman"/>
          <w:i/>
          <w:iCs/>
          <w:spacing w:val="-5"/>
        </w:rPr>
        <w:t> </w:t>
      </w:r>
      <w:r w:rsidR="359411A2" w:rsidRPr="00A627C4">
        <w:rPr>
          <w:rStyle w:val="FootnoteReference"/>
          <w:rFonts w:eastAsia="Times New Roman"/>
          <w:spacing w:val="-5"/>
        </w:rPr>
        <w:footnoteReference w:id="26"/>
      </w:r>
      <w:r w:rsidRPr="00A627C4">
        <w:rPr>
          <w:rFonts w:eastAsia="Times New Roman"/>
          <w:spacing w:val="-5"/>
        </w:rPr>
        <w:t xml:space="preserve">». </w:t>
      </w:r>
    </w:p>
    <w:p w14:paraId="176ABA39" w14:textId="632A468D" w:rsidR="1A2BEA16" w:rsidRPr="00A627C4" w:rsidRDefault="4383325F" w:rsidP="1A2BEA16">
      <w:pPr>
        <w:pStyle w:val="ListParagraph"/>
        <w:numPr>
          <w:ilvl w:val="0"/>
          <w:numId w:val="7"/>
        </w:numPr>
        <w:spacing w:before="240" w:after="240" w:line="480" w:lineRule="auto"/>
        <w:ind w:left="0" w:firstLine="357"/>
        <w:jc w:val="both"/>
        <w:rPr>
          <w:rFonts w:eastAsia="Times New Roman"/>
          <w:spacing w:val="-5"/>
        </w:rPr>
      </w:pPr>
      <w:r w:rsidRPr="00A627C4">
        <w:rPr>
          <w:rFonts w:eastAsia="Times New Roman"/>
          <w:spacing w:val="-5"/>
        </w:rPr>
        <w:t>En ce qui concerne la deuxième question, «</w:t>
      </w:r>
      <w:r w:rsidR="00644B0D">
        <w:rPr>
          <w:rFonts w:eastAsia="Times New Roman"/>
          <w:spacing w:val="-5"/>
        </w:rPr>
        <w:t> </w:t>
      </w:r>
      <w:r w:rsidRPr="00A627C4">
        <w:rPr>
          <w:rFonts w:eastAsia="Times New Roman"/>
          <w:spacing w:val="-5"/>
        </w:rPr>
        <w:t>le demandeur a souligné que le contrôle judiciaire portait aussi sur l’invocation de la contrainte comme moyen de défense contre l’interdiction de territoire au titre de l’alinéa 34</w:t>
      </w:r>
      <w:r w:rsidR="00644B0D">
        <w:rPr>
          <w:rFonts w:eastAsia="Times New Roman"/>
          <w:spacing w:val="-5"/>
        </w:rPr>
        <w:t xml:space="preserve"> </w:t>
      </w:r>
      <w:r w:rsidRPr="00A627C4">
        <w:rPr>
          <w:rFonts w:eastAsia="Times New Roman"/>
          <w:spacing w:val="-5"/>
        </w:rPr>
        <w:t>(1)</w:t>
      </w:r>
      <w:r w:rsidR="00644B0D">
        <w:rPr>
          <w:rFonts w:eastAsia="Times New Roman"/>
          <w:spacing w:val="-5"/>
        </w:rPr>
        <w:t xml:space="preserve"> </w:t>
      </w:r>
      <w:r w:rsidRPr="00A627C4">
        <w:rPr>
          <w:rFonts w:eastAsia="Times New Roman"/>
          <w:spacing w:val="-5"/>
        </w:rPr>
        <w:t>b)</w:t>
      </w:r>
      <w:r w:rsidR="00644B0D">
        <w:rPr>
          <w:rFonts w:eastAsia="Times New Roman"/>
          <w:spacing w:val="-5"/>
        </w:rPr>
        <w:t> </w:t>
      </w:r>
      <w:r w:rsidRPr="00A627C4">
        <w:rPr>
          <w:rFonts w:eastAsia="Times New Roman"/>
          <w:spacing w:val="-5"/>
        </w:rPr>
        <w:t>» de la LIPR et que cette question «</w:t>
      </w:r>
      <w:r w:rsidR="00644B0D">
        <w:rPr>
          <w:rFonts w:eastAsia="Times New Roman"/>
          <w:spacing w:val="-5"/>
        </w:rPr>
        <w:t> </w:t>
      </w:r>
      <w:r w:rsidRPr="00A627C4">
        <w:rPr>
          <w:rFonts w:eastAsia="Times New Roman"/>
          <w:spacing w:val="-5"/>
        </w:rPr>
        <w:t>porte sur l’interaction entre l’appartenance, l’intention et le caractère volontaire, qui ont fait l’objet d’interprétations divergentes dans la jurisprudence</w:t>
      </w:r>
      <w:r w:rsidR="00644B0D">
        <w:rPr>
          <w:rFonts w:eastAsia="Times New Roman"/>
          <w:spacing w:val="-5"/>
        </w:rPr>
        <w:t> </w:t>
      </w:r>
      <w:r w:rsidR="359411A2" w:rsidRPr="00A627C4">
        <w:rPr>
          <w:rStyle w:val="FootnoteReference"/>
          <w:rFonts w:eastAsia="Times New Roman"/>
          <w:spacing w:val="-5"/>
        </w:rPr>
        <w:footnoteReference w:id="27"/>
      </w:r>
      <w:r w:rsidR="05B1C484" w:rsidRPr="00A627C4">
        <w:rPr>
          <w:rFonts w:eastAsia="Times New Roman"/>
          <w:spacing w:val="-5"/>
        </w:rPr>
        <w:t>»</w:t>
      </w:r>
      <w:r w:rsidRPr="00A627C4">
        <w:rPr>
          <w:rFonts w:eastAsia="Times New Roman"/>
          <w:spacing w:val="-5"/>
        </w:rPr>
        <w:t>.</w:t>
      </w:r>
    </w:p>
    <w:p w14:paraId="58488C43" w14:textId="65EE0562" w:rsidR="00172A86" w:rsidRPr="00A87762" w:rsidRDefault="00C32E90" w:rsidP="00A87762">
      <w:pPr>
        <w:spacing w:before="240" w:after="240"/>
        <w:jc w:val="center"/>
        <w:rPr>
          <w:rFonts w:eastAsia="Times New Roman"/>
          <w:b/>
          <w:spacing w:val="-5"/>
          <w:u w:val="single"/>
        </w:rPr>
      </w:pPr>
      <w:r w:rsidRPr="00A627C4">
        <w:rPr>
          <w:rFonts w:eastAsia="Times New Roman"/>
          <w:b/>
          <w:spacing w:val="-5"/>
          <w:u w:val="single"/>
        </w:rPr>
        <w:t>PARTIE II - POINTS EN LITIGE</w:t>
      </w:r>
    </w:p>
    <w:p w14:paraId="00AB3B40" w14:textId="6E5307D3" w:rsidR="00534B2E" w:rsidRPr="00A627C4" w:rsidRDefault="5E40CE81"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Les points en litige </w:t>
      </w:r>
      <w:r w:rsidR="580AD702" w:rsidRPr="00A627C4">
        <w:rPr>
          <w:rFonts w:eastAsia="Times New Roman"/>
          <w:spacing w:val="-5"/>
        </w:rPr>
        <w:t xml:space="preserve">sont conformes aux questions certifiées par la </w:t>
      </w:r>
      <w:r w:rsidR="39CD40CF" w:rsidRPr="00A627C4">
        <w:rPr>
          <w:rFonts w:eastAsia="Times New Roman"/>
          <w:spacing w:val="-5"/>
        </w:rPr>
        <w:t>cour fédérale :</w:t>
      </w:r>
    </w:p>
    <w:p w14:paraId="440CC8DD" w14:textId="22784E01" w:rsidR="00534B2E" w:rsidRPr="00A627C4" w:rsidRDefault="00534B2E" w:rsidP="00E966BF">
      <w:pPr>
        <w:pStyle w:val="ListParagraph"/>
        <w:numPr>
          <w:ilvl w:val="3"/>
          <w:numId w:val="12"/>
        </w:numPr>
        <w:spacing w:after="240" w:line="480" w:lineRule="auto"/>
        <w:jc w:val="both"/>
        <w:rPr>
          <w:rFonts w:eastAsia="Times New Roman"/>
          <w:spacing w:val="-5"/>
        </w:rPr>
      </w:pPr>
      <w:r w:rsidRPr="00A627C4">
        <w:rPr>
          <w:rFonts w:eastAsia="Times New Roman"/>
          <w:spacing w:val="-5"/>
        </w:rPr>
        <w:t>Une organisation qui exerce une fonction démocratique légitime en tant que parti politique peut-elle tomber sous l’alinéa 34</w:t>
      </w:r>
      <w:r w:rsidR="00D14AC9">
        <w:rPr>
          <w:rFonts w:eastAsia="Times New Roman"/>
          <w:spacing w:val="-5"/>
        </w:rPr>
        <w:t xml:space="preserve"> </w:t>
      </w:r>
      <w:r w:rsidRPr="00A627C4">
        <w:rPr>
          <w:rFonts w:eastAsia="Times New Roman"/>
          <w:spacing w:val="-5"/>
        </w:rPr>
        <w:t>(1)</w:t>
      </w:r>
      <w:r w:rsidR="00D14AC9">
        <w:rPr>
          <w:rFonts w:eastAsia="Times New Roman"/>
          <w:spacing w:val="-5"/>
        </w:rPr>
        <w:t xml:space="preserve"> </w:t>
      </w:r>
      <w:r w:rsidRPr="00A627C4">
        <w:rPr>
          <w:rFonts w:eastAsia="Times New Roman"/>
          <w:spacing w:val="-5"/>
        </w:rPr>
        <w:t>b) de la LIPR en tant qu’organisation pour laquelle il y a des motifs raisonnables de croire qu’elle est l’instigatrice ou l’aut</w:t>
      </w:r>
      <w:r w:rsidR="00A2155F">
        <w:rPr>
          <w:rFonts w:eastAsia="Times New Roman"/>
          <w:spacing w:val="-5"/>
        </w:rPr>
        <w:t>rice</w:t>
      </w:r>
      <w:r w:rsidRPr="00A627C4">
        <w:rPr>
          <w:rFonts w:eastAsia="Times New Roman"/>
          <w:spacing w:val="-5"/>
        </w:rPr>
        <w:t xml:space="preserve"> d’actes visant au renversement d’un gouvernement par la force</w:t>
      </w:r>
      <w:r w:rsidR="00D14AC9">
        <w:rPr>
          <w:rFonts w:eastAsia="Times New Roman"/>
          <w:spacing w:val="-5"/>
        </w:rPr>
        <w:t> </w:t>
      </w:r>
      <w:r w:rsidRPr="00A627C4">
        <w:rPr>
          <w:rFonts w:eastAsia="Times New Roman"/>
          <w:spacing w:val="-5"/>
        </w:rPr>
        <w:t xml:space="preserve">? </w:t>
      </w:r>
    </w:p>
    <w:p w14:paraId="4955A10A" w14:textId="6D6F01E0" w:rsidR="00AE774C" w:rsidRPr="00A627C4" w:rsidRDefault="003231CF" w:rsidP="0067568F">
      <w:pPr>
        <w:pStyle w:val="ListParagraph"/>
        <w:numPr>
          <w:ilvl w:val="3"/>
          <w:numId w:val="12"/>
        </w:numPr>
        <w:spacing w:after="240" w:line="480" w:lineRule="auto"/>
        <w:jc w:val="both"/>
        <w:rPr>
          <w:rFonts w:eastAsia="Times New Roman"/>
          <w:spacing w:val="-5"/>
        </w:rPr>
      </w:pPr>
      <w:r w:rsidRPr="00A627C4">
        <w:rPr>
          <w:rFonts w:eastAsia="Times New Roman"/>
          <w:spacing w:val="-5"/>
        </w:rPr>
        <w:t>La preuve de contrainte peut-elle annuler une conclusion d’appartenance à une organisation en application de l’alinéa</w:t>
      </w:r>
      <w:r w:rsidR="00D14AC9">
        <w:rPr>
          <w:rFonts w:eastAsia="Times New Roman"/>
          <w:spacing w:val="-5"/>
        </w:rPr>
        <w:t> </w:t>
      </w:r>
      <w:r w:rsidRPr="00A627C4">
        <w:rPr>
          <w:rFonts w:eastAsia="Times New Roman"/>
          <w:spacing w:val="-5"/>
        </w:rPr>
        <w:t>34</w:t>
      </w:r>
      <w:r w:rsidR="00D14AC9">
        <w:rPr>
          <w:rFonts w:eastAsia="Times New Roman"/>
          <w:spacing w:val="-5"/>
        </w:rPr>
        <w:t xml:space="preserve"> </w:t>
      </w:r>
      <w:r w:rsidRPr="00A627C4">
        <w:rPr>
          <w:rFonts w:eastAsia="Times New Roman"/>
          <w:spacing w:val="-5"/>
        </w:rPr>
        <w:t>(1)</w:t>
      </w:r>
      <w:r w:rsidR="00D14AC9">
        <w:rPr>
          <w:rFonts w:eastAsia="Times New Roman"/>
          <w:spacing w:val="-5"/>
        </w:rPr>
        <w:t xml:space="preserve"> </w:t>
      </w:r>
      <w:r w:rsidRPr="00A627C4">
        <w:rPr>
          <w:rFonts w:eastAsia="Times New Roman"/>
          <w:spacing w:val="-5"/>
        </w:rPr>
        <w:t>f) de la LIPR</w:t>
      </w:r>
      <w:r w:rsidR="00D14AC9">
        <w:rPr>
          <w:rFonts w:eastAsia="Times New Roman"/>
          <w:spacing w:val="-5"/>
        </w:rPr>
        <w:t> </w:t>
      </w:r>
      <w:r w:rsidRPr="00A627C4">
        <w:rPr>
          <w:rFonts w:eastAsia="Times New Roman"/>
          <w:spacing w:val="-5"/>
        </w:rPr>
        <w:t>?</w:t>
      </w:r>
    </w:p>
    <w:p w14:paraId="58488C44" w14:textId="77777777" w:rsidR="00172A86" w:rsidRPr="00A627C4" w:rsidRDefault="00C32E90">
      <w:pPr>
        <w:spacing w:before="240" w:after="240"/>
        <w:jc w:val="center"/>
        <w:rPr>
          <w:rFonts w:eastAsia="Times New Roman"/>
          <w:b/>
          <w:spacing w:val="-5"/>
          <w:u w:val="single"/>
        </w:rPr>
      </w:pPr>
      <w:r w:rsidRPr="00A627C4">
        <w:rPr>
          <w:rFonts w:eastAsia="Times New Roman"/>
          <w:b/>
          <w:spacing w:val="-5"/>
          <w:u w:val="single"/>
        </w:rPr>
        <w:t>PARTIE III - ARGUMENTATION</w:t>
      </w:r>
    </w:p>
    <w:p w14:paraId="72E9C1B5" w14:textId="111B0EE5" w:rsidR="00CE6684" w:rsidRPr="00A627C4" w:rsidRDefault="00CE6684" w:rsidP="00B51673">
      <w:pPr>
        <w:pStyle w:val="ListParagraph"/>
        <w:numPr>
          <w:ilvl w:val="0"/>
          <w:numId w:val="9"/>
        </w:numPr>
        <w:spacing w:after="240"/>
        <w:jc w:val="both"/>
        <w:rPr>
          <w:rFonts w:eastAsia="Times New Roman"/>
          <w:b/>
          <w:bCs/>
          <w:spacing w:val="-5"/>
        </w:rPr>
      </w:pPr>
      <w:r w:rsidRPr="00A627C4">
        <w:rPr>
          <w:rFonts w:eastAsia="Times New Roman"/>
          <w:b/>
          <w:bCs/>
          <w:spacing w:val="-5"/>
        </w:rPr>
        <w:t>L’interprétation des dispositions de la LIPR sur les interdictions de territoire</w:t>
      </w:r>
    </w:p>
    <w:p w14:paraId="21CBEE55" w14:textId="76785778" w:rsidR="00226D3A" w:rsidRPr="00A627C4" w:rsidRDefault="00B84580" w:rsidP="00B51673">
      <w:pPr>
        <w:pStyle w:val="ListParagraph"/>
        <w:numPr>
          <w:ilvl w:val="1"/>
          <w:numId w:val="10"/>
        </w:numPr>
        <w:spacing w:after="240"/>
        <w:jc w:val="both"/>
        <w:rPr>
          <w:rFonts w:eastAsia="Times New Roman"/>
          <w:b/>
          <w:bCs/>
          <w:spacing w:val="-5"/>
        </w:rPr>
      </w:pPr>
      <w:r w:rsidRPr="00A627C4">
        <w:rPr>
          <w:rFonts w:eastAsia="Times New Roman"/>
          <w:b/>
          <w:bCs/>
          <w:spacing w:val="-5"/>
        </w:rPr>
        <w:t xml:space="preserve">Le contexte </w:t>
      </w:r>
      <w:r w:rsidR="00C062CA" w:rsidRPr="00A627C4">
        <w:rPr>
          <w:rFonts w:eastAsia="Times New Roman"/>
          <w:b/>
          <w:bCs/>
          <w:spacing w:val="-5"/>
        </w:rPr>
        <w:t>interne de la LIPR</w:t>
      </w:r>
    </w:p>
    <w:p w14:paraId="7C7247F2" w14:textId="272AB367" w:rsidR="00226D3A" w:rsidRPr="00A627C4" w:rsidRDefault="03DEACCD"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Comme toute autre loi, les dispositions de la LIPR doivent être lues et interprétées en fonction de leur sens grammatical et ordinaire et de façon harmonieuse avec l’esprit et l’objet de la loi</w:t>
      </w:r>
      <w:r w:rsidR="00226D3A" w:rsidRPr="00A627C4">
        <w:rPr>
          <w:rStyle w:val="FootnoteReference"/>
          <w:rFonts w:eastAsia="Times New Roman"/>
          <w:spacing w:val="-5"/>
        </w:rPr>
        <w:footnoteReference w:id="28"/>
      </w:r>
      <w:r w:rsidRPr="00A627C4">
        <w:rPr>
          <w:rFonts w:eastAsia="Times New Roman"/>
          <w:spacing w:val="-5"/>
        </w:rPr>
        <w:t>. Il est d’ailleurs pertinent de rappeler l’objet de la loi relati</w:t>
      </w:r>
      <w:r w:rsidR="00D14AC9">
        <w:rPr>
          <w:rFonts w:eastAsia="Times New Roman"/>
          <w:spacing w:val="-5"/>
        </w:rPr>
        <w:t>ve</w:t>
      </w:r>
      <w:r w:rsidRPr="00A627C4">
        <w:rPr>
          <w:rFonts w:eastAsia="Times New Roman"/>
          <w:spacing w:val="-5"/>
        </w:rPr>
        <w:t xml:space="preserve"> aux réfugiés tel</w:t>
      </w:r>
      <w:r w:rsidR="00D14AC9">
        <w:rPr>
          <w:rFonts w:eastAsia="Times New Roman"/>
          <w:spacing w:val="-5"/>
        </w:rPr>
        <w:t>s</w:t>
      </w:r>
      <w:r w:rsidRPr="00A627C4">
        <w:rPr>
          <w:rFonts w:eastAsia="Times New Roman"/>
          <w:spacing w:val="-5"/>
        </w:rPr>
        <w:t xml:space="preserve"> que l’étayent les sous-alinéas</w:t>
      </w:r>
      <w:r w:rsidR="00D14AC9">
        <w:rPr>
          <w:rFonts w:eastAsia="Times New Roman"/>
          <w:spacing w:val="-5"/>
        </w:rPr>
        <w:t> </w:t>
      </w:r>
      <w:r w:rsidRPr="00A627C4">
        <w:rPr>
          <w:rFonts w:eastAsia="Times New Roman"/>
          <w:spacing w:val="-5"/>
        </w:rPr>
        <w:t>3</w:t>
      </w:r>
      <w:r w:rsidR="00D14AC9">
        <w:rPr>
          <w:rFonts w:eastAsia="Times New Roman"/>
          <w:spacing w:val="-5"/>
        </w:rPr>
        <w:t xml:space="preserve"> </w:t>
      </w:r>
      <w:r w:rsidRPr="00A627C4">
        <w:rPr>
          <w:rFonts w:eastAsia="Times New Roman"/>
          <w:spacing w:val="-5"/>
        </w:rPr>
        <w:t>(2) a), b) et d), ainsi que 3</w:t>
      </w:r>
      <w:r w:rsidR="00D14AC9">
        <w:rPr>
          <w:rFonts w:eastAsia="Times New Roman"/>
          <w:spacing w:val="-5"/>
        </w:rPr>
        <w:t xml:space="preserve"> </w:t>
      </w:r>
      <w:r w:rsidRPr="00A627C4">
        <w:rPr>
          <w:rFonts w:eastAsia="Times New Roman"/>
          <w:spacing w:val="-5"/>
        </w:rPr>
        <w:t>(3)</w:t>
      </w:r>
      <w:r w:rsidR="00D14AC9">
        <w:rPr>
          <w:rFonts w:eastAsia="Times New Roman"/>
          <w:spacing w:val="-5"/>
        </w:rPr>
        <w:t xml:space="preserve"> </w:t>
      </w:r>
      <w:r w:rsidRPr="00A627C4">
        <w:rPr>
          <w:rFonts w:eastAsia="Times New Roman"/>
          <w:spacing w:val="-5"/>
        </w:rPr>
        <w:t>d) et f) de la LIPR</w:t>
      </w:r>
      <w:r w:rsidR="00D14AC9">
        <w:rPr>
          <w:rFonts w:eastAsia="Times New Roman"/>
          <w:spacing w:val="-5"/>
        </w:rPr>
        <w:t> </w:t>
      </w:r>
      <w:r w:rsidRPr="00A627C4">
        <w:rPr>
          <w:rFonts w:eastAsia="Times New Roman"/>
          <w:spacing w:val="-5"/>
        </w:rPr>
        <w:t>:</w:t>
      </w:r>
    </w:p>
    <w:p w14:paraId="473EF903" w14:textId="1CDA0514" w:rsidR="00226D3A" w:rsidRPr="00A627C4" w:rsidRDefault="00226D3A" w:rsidP="00226D3A">
      <w:pPr>
        <w:pStyle w:val="ListParagraph"/>
        <w:spacing w:after="240" w:line="240" w:lineRule="auto"/>
        <w:ind w:left="284" w:right="284"/>
        <w:jc w:val="both"/>
        <w:rPr>
          <w:rFonts w:eastAsia="Times New Roman"/>
          <w:spacing w:val="-5"/>
        </w:rPr>
      </w:pPr>
      <w:r w:rsidRPr="00A627C4">
        <w:rPr>
          <w:rFonts w:eastAsia="Times New Roman"/>
          <w:b/>
          <w:bCs/>
          <w:spacing w:val="-5"/>
        </w:rPr>
        <w:t>3 (2)</w:t>
      </w:r>
      <w:r w:rsidRPr="00A627C4">
        <w:rPr>
          <w:rFonts w:eastAsia="Times New Roman"/>
          <w:spacing w:val="-5"/>
        </w:rPr>
        <w:t xml:space="preserve"> </w:t>
      </w:r>
      <w:r w:rsidR="00D14AC9">
        <w:rPr>
          <w:rFonts w:eastAsia="Times New Roman"/>
          <w:spacing w:val="-5"/>
        </w:rPr>
        <w:t>s</w:t>
      </w:r>
      <w:r w:rsidRPr="00A627C4">
        <w:rPr>
          <w:rFonts w:eastAsia="Times New Roman"/>
          <w:spacing w:val="-5"/>
        </w:rPr>
        <w:t>’agissant des réfugiés, la présente loi a pour objet :</w:t>
      </w:r>
    </w:p>
    <w:p w14:paraId="55E3C9B8" w14:textId="0153DAE6" w:rsidR="00226D3A" w:rsidRPr="00A627C4" w:rsidRDefault="00226D3A" w:rsidP="00226D3A">
      <w:pPr>
        <w:pStyle w:val="ListParagraph"/>
        <w:spacing w:after="240" w:line="240" w:lineRule="auto"/>
        <w:ind w:left="284" w:right="284"/>
        <w:jc w:val="both"/>
        <w:rPr>
          <w:rFonts w:eastAsia="Times New Roman"/>
          <w:spacing w:val="-5"/>
        </w:rPr>
      </w:pPr>
      <w:r w:rsidRPr="00A627C4">
        <w:rPr>
          <w:rFonts w:eastAsia="Times New Roman"/>
          <w:b/>
          <w:bCs/>
          <w:spacing w:val="-5"/>
        </w:rPr>
        <w:t>a)</w:t>
      </w:r>
      <w:r w:rsidRPr="00A627C4">
        <w:rPr>
          <w:rFonts w:eastAsia="Times New Roman"/>
          <w:spacing w:val="-5"/>
        </w:rPr>
        <w:t xml:space="preserve"> de reconnaître que le programme pour les réfugiés vise avant tout à sauver des vies et à </w:t>
      </w:r>
      <w:r w:rsidRPr="00A627C4">
        <w:rPr>
          <w:rFonts w:eastAsia="Times New Roman"/>
          <w:spacing w:val="-5"/>
          <w:u w:val="single"/>
        </w:rPr>
        <w:t>protéger les personnes de la persécution</w:t>
      </w:r>
      <w:r w:rsidR="00D14AC9">
        <w:rPr>
          <w:rFonts w:eastAsia="Times New Roman"/>
          <w:spacing w:val="-5"/>
          <w:u w:val="single"/>
        </w:rPr>
        <w:t> </w:t>
      </w:r>
      <w:r w:rsidRPr="00A627C4">
        <w:rPr>
          <w:rFonts w:eastAsia="Times New Roman"/>
          <w:spacing w:val="-5"/>
        </w:rPr>
        <w:t>;</w:t>
      </w:r>
    </w:p>
    <w:p w14:paraId="1EBE8BAF" w14:textId="09014BE0" w:rsidR="00226D3A" w:rsidRPr="00A627C4" w:rsidRDefault="00226D3A" w:rsidP="00226D3A">
      <w:pPr>
        <w:pStyle w:val="ListParagraph"/>
        <w:spacing w:after="240" w:line="240" w:lineRule="auto"/>
        <w:ind w:left="284" w:right="284"/>
        <w:jc w:val="both"/>
        <w:rPr>
          <w:rFonts w:eastAsia="Times New Roman"/>
          <w:spacing w:val="-5"/>
        </w:rPr>
      </w:pPr>
      <w:r w:rsidRPr="00A627C4">
        <w:rPr>
          <w:rFonts w:eastAsia="Times New Roman"/>
          <w:b/>
          <w:bCs/>
          <w:spacing w:val="-5"/>
        </w:rPr>
        <w:t>b)</w:t>
      </w:r>
      <w:r w:rsidRPr="00A627C4">
        <w:rPr>
          <w:rFonts w:eastAsia="Times New Roman"/>
          <w:spacing w:val="-5"/>
        </w:rPr>
        <w:t xml:space="preserve"> </w:t>
      </w:r>
      <w:r w:rsidRPr="00A627C4">
        <w:rPr>
          <w:rFonts w:eastAsia="Times New Roman"/>
          <w:spacing w:val="-5"/>
          <w:u w:val="single"/>
        </w:rPr>
        <w:t>de remplir les obligations en droit international du Canada relatives aux réfugiés</w:t>
      </w:r>
      <w:r w:rsidRPr="00A627C4">
        <w:rPr>
          <w:rFonts w:eastAsia="Times New Roman"/>
          <w:spacing w:val="-5"/>
        </w:rPr>
        <w:t xml:space="preserve"> et aux personnes déplacées et d’affirmer la volonté du Canada de participer aux efforts de la communauté internationale pour venir en aide aux personnes qui doivent se réinstaller</w:t>
      </w:r>
      <w:r w:rsidR="00D14AC9">
        <w:rPr>
          <w:rFonts w:eastAsia="Times New Roman"/>
          <w:spacing w:val="-5"/>
        </w:rPr>
        <w:t> </w:t>
      </w:r>
      <w:r w:rsidRPr="00A627C4">
        <w:rPr>
          <w:rFonts w:eastAsia="Times New Roman"/>
          <w:spacing w:val="-5"/>
        </w:rPr>
        <w:t>;</w:t>
      </w:r>
    </w:p>
    <w:p w14:paraId="0F018B60" w14:textId="77777777" w:rsidR="00226D3A" w:rsidRPr="00A627C4" w:rsidRDefault="00226D3A" w:rsidP="00226D3A">
      <w:pPr>
        <w:pStyle w:val="ListParagraph"/>
        <w:spacing w:after="240" w:line="240" w:lineRule="auto"/>
        <w:ind w:left="284" w:right="284"/>
        <w:jc w:val="both"/>
        <w:rPr>
          <w:rFonts w:eastAsia="Times New Roman"/>
          <w:spacing w:val="-5"/>
        </w:rPr>
      </w:pPr>
      <w:r w:rsidRPr="00A627C4">
        <w:rPr>
          <w:rFonts w:eastAsia="Times New Roman"/>
          <w:b/>
          <w:bCs/>
          <w:spacing w:val="-5"/>
        </w:rPr>
        <w:t>[…]</w:t>
      </w:r>
    </w:p>
    <w:p w14:paraId="494C8A56" w14:textId="11C88B33" w:rsidR="00226D3A" w:rsidRPr="00A627C4" w:rsidRDefault="00226D3A" w:rsidP="00226D3A">
      <w:pPr>
        <w:pStyle w:val="ListParagraph"/>
        <w:spacing w:after="240" w:line="240" w:lineRule="auto"/>
        <w:ind w:left="284" w:right="284"/>
        <w:jc w:val="both"/>
        <w:rPr>
          <w:rFonts w:eastAsia="Times New Roman"/>
          <w:spacing w:val="-5"/>
        </w:rPr>
      </w:pPr>
      <w:r w:rsidRPr="00A627C4">
        <w:rPr>
          <w:rFonts w:eastAsia="Times New Roman"/>
          <w:b/>
          <w:bCs/>
          <w:spacing w:val="-5"/>
        </w:rPr>
        <w:t>d)</w:t>
      </w:r>
      <w:r w:rsidRPr="00A627C4">
        <w:rPr>
          <w:rFonts w:eastAsia="Times New Roman"/>
          <w:spacing w:val="-5"/>
        </w:rPr>
        <w:t xml:space="preserve"> d’offrir l’asile à ceux qui craignent avec raison d’être persécutés du fait de leur race, leur religion, leur nationalité, leurs opinions politiques, </w:t>
      </w:r>
      <w:r w:rsidRPr="00A627C4">
        <w:rPr>
          <w:rFonts w:eastAsia="Times New Roman"/>
          <w:spacing w:val="-5"/>
          <w:u w:val="single"/>
        </w:rPr>
        <w:t>leur appartenance à un groupe social en particulier</w:t>
      </w:r>
      <w:r w:rsidRPr="00A627C4">
        <w:rPr>
          <w:rFonts w:eastAsia="Times New Roman"/>
          <w:spacing w:val="-5"/>
        </w:rPr>
        <w:t>, ainsi qu’à ceux qui risquent la torture ou des traitements ou peines cruels et inusités</w:t>
      </w:r>
      <w:r w:rsidR="00D14AC9">
        <w:rPr>
          <w:rFonts w:eastAsia="Times New Roman"/>
          <w:spacing w:val="-5"/>
        </w:rPr>
        <w:t> </w:t>
      </w:r>
      <w:r w:rsidRPr="00A627C4">
        <w:rPr>
          <w:rFonts w:eastAsia="Times New Roman"/>
          <w:spacing w:val="-5"/>
        </w:rPr>
        <w:t xml:space="preserve">; </w:t>
      </w:r>
    </w:p>
    <w:p w14:paraId="1863E261" w14:textId="77777777" w:rsidR="00226D3A" w:rsidRPr="00A627C4" w:rsidRDefault="00226D3A" w:rsidP="00226D3A">
      <w:pPr>
        <w:pStyle w:val="ListParagraph"/>
        <w:spacing w:after="240" w:line="240" w:lineRule="auto"/>
        <w:ind w:left="284" w:right="284"/>
        <w:jc w:val="both"/>
        <w:rPr>
          <w:rFonts w:eastAsia="Times New Roman"/>
          <w:b/>
          <w:bCs/>
          <w:spacing w:val="-5"/>
        </w:rPr>
      </w:pPr>
      <w:r w:rsidRPr="00A627C4">
        <w:rPr>
          <w:rFonts w:eastAsia="Times New Roman"/>
          <w:b/>
          <w:bCs/>
          <w:spacing w:val="-5"/>
        </w:rPr>
        <w:t>[…]</w:t>
      </w:r>
    </w:p>
    <w:p w14:paraId="4AF0749C" w14:textId="1C478046" w:rsidR="00226D3A" w:rsidRPr="00A627C4" w:rsidRDefault="00226D3A" w:rsidP="00226D3A">
      <w:pPr>
        <w:pStyle w:val="ListParagraph"/>
        <w:spacing w:after="240" w:line="240" w:lineRule="auto"/>
        <w:ind w:left="284" w:right="284"/>
        <w:jc w:val="both"/>
        <w:rPr>
          <w:rFonts w:eastAsia="Times New Roman"/>
          <w:spacing w:val="-5"/>
        </w:rPr>
      </w:pPr>
      <w:r w:rsidRPr="00A627C4">
        <w:rPr>
          <w:rFonts w:eastAsia="Times New Roman"/>
          <w:b/>
          <w:bCs/>
          <w:spacing w:val="-5"/>
        </w:rPr>
        <w:t xml:space="preserve">(3) </w:t>
      </w:r>
      <w:r w:rsidRPr="00A627C4">
        <w:rPr>
          <w:rFonts w:eastAsia="Times New Roman"/>
          <w:spacing w:val="-5"/>
        </w:rPr>
        <w:t xml:space="preserve">L’interprétation et la mise en </w:t>
      </w:r>
      <w:r w:rsidR="00D14AC9">
        <w:rPr>
          <w:rFonts w:eastAsia="Times New Roman"/>
          <w:spacing w:val="-5"/>
        </w:rPr>
        <w:t>œ</w:t>
      </w:r>
      <w:r w:rsidRPr="00A627C4">
        <w:rPr>
          <w:rFonts w:eastAsia="Times New Roman"/>
          <w:spacing w:val="-5"/>
        </w:rPr>
        <w:t>uvre de la présente loi doivent avoir pour effet :</w:t>
      </w:r>
    </w:p>
    <w:p w14:paraId="05B6688E" w14:textId="77777777" w:rsidR="00226D3A" w:rsidRPr="00A627C4" w:rsidRDefault="00226D3A" w:rsidP="00226D3A">
      <w:pPr>
        <w:pStyle w:val="ListParagraph"/>
        <w:spacing w:after="240" w:line="240" w:lineRule="auto"/>
        <w:ind w:left="284" w:right="284"/>
        <w:jc w:val="both"/>
        <w:rPr>
          <w:rFonts w:eastAsia="Times New Roman"/>
          <w:b/>
          <w:bCs/>
          <w:spacing w:val="-5"/>
        </w:rPr>
      </w:pPr>
      <w:r w:rsidRPr="00A627C4">
        <w:rPr>
          <w:rFonts w:eastAsia="Times New Roman"/>
          <w:b/>
          <w:bCs/>
          <w:spacing w:val="-5"/>
        </w:rPr>
        <w:t>[…]</w:t>
      </w:r>
    </w:p>
    <w:p w14:paraId="41D5C7EF" w14:textId="5590D2B2" w:rsidR="00226D3A" w:rsidRPr="00A627C4" w:rsidRDefault="00226D3A" w:rsidP="00226D3A">
      <w:pPr>
        <w:pStyle w:val="ListParagraph"/>
        <w:spacing w:after="240" w:line="240" w:lineRule="auto"/>
        <w:ind w:left="284" w:right="284"/>
        <w:jc w:val="both"/>
        <w:rPr>
          <w:rFonts w:eastAsia="Times New Roman"/>
          <w:spacing w:val="-5"/>
        </w:rPr>
      </w:pPr>
      <w:r w:rsidRPr="00A627C4">
        <w:rPr>
          <w:rFonts w:eastAsia="Times New Roman"/>
          <w:b/>
          <w:bCs/>
          <w:spacing w:val="-5"/>
        </w:rPr>
        <w:t>d)</w:t>
      </w:r>
      <w:r w:rsidRPr="00A627C4">
        <w:rPr>
          <w:rFonts w:ascii="Helvetica" w:hAnsi="Helvetica" w:cs="Helvetica"/>
          <w:color w:val="333333"/>
          <w:spacing w:val="-5"/>
          <w:shd w:val="clear" w:color="auto" w:fill="FFFFFF"/>
        </w:rPr>
        <w:t xml:space="preserve"> </w:t>
      </w:r>
      <w:r w:rsidRPr="00A627C4">
        <w:rPr>
          <w:rFonts w:eastAsia="Times New Roman"/>
          <w:spacing w:val="-5"/>
        </w:rPr>
        <w:t>d’assurer que les décisions prises en vertu de la présente loi sont conformes à la </w:t>
      </w:r>
      <w:r w:rsidRPr="00A627C4">
        <w:rPr>
          <w:rFonts w:eastAsia="Times New Roman"/>
          <w:i/>
          <w:iCs/>
          <w:spacing w:val="-5"/>
        </w:rPr>
        <w:t>Charte canadienne des droits et libertés</w:t>
      </w:r>
      <w:r w:rsidRPr="00A627C4">
        <w:rPr>
          <w:rFonts w:eastAsia="Times New Roman"/>
          <w:spacing w:val="-5"/>
        </w:rPr>
        <w:t>, notamment en ce qui touche les principes, d’une part, d’égalité et de protection contre la discrimination et, d’autre part, d’égalité du français et de l’anglais à titre de langues officielles du Canada</w:t>
      </w:r>
      <w:r w:rsidR="00D14AC9">
        <w:rPr>
          <w:rFonts w:eastAsia="Times New Roman"/>
          <w:spacing w:val="-5"/>
        </w:rPr>
        <w:t> </w:t>
      </w:r>
      <w:r w:rsidRPr="00A627C4">
        <w:rPr>
          <w:rFonts w:eastAsia="Times New Roman"/>
          <w:spacing w:val="-5"/>
        </w:rPr>
        <w:t>;</w:t>
      </w:r>
    </w:p>
    <w:p w14:paraId="4163E614" w14:textId="77777777" w:rsidR="00226D3A" w:rsidRPr="00A627C4" w:rsidRDefault="00226D3A" w:rsidP="00226D3A">
      <w:pPr>
        <w:pStyle w:val="ListParagraph"/>
        <w:spacing w:after="240" w:line="240" w:lineRule="auto"/>
        <w:ind w:left="284" w:right="284"/>
        <w:jc w:val="both"/>
        <w:rPr>
          <w:rFonts w:eastAsia="Times New Roman"/>
          <w:b/>
          <w:bCs/>
          <w:spacing w:val="-5"/>
        </w:rPr>
      </w:pPr>
      <w:r w:rsidRPr="00A627C4">
        <w:rPr>
          <w:rFonts w:eastAsia="Times New Roman"/>
          <w:b/>
          <w:bCs/>
          <w:spacing w:val="-5"/>
        </w:rPr>
        <w:t>[…]</w:t>
      </w:r>
    </w:p>
    <w:p w14:paraId="307E6755" w14:textId="3EE854E1" w:rsidR="00226D3A" w:rsidRPr="00A627C4" w:rsidRDefault="00226D3A" w:rsidP="00226D3A">
      <w:pPr>
        <w:pStyle w:val="ListParagraph"/>
        <w:spacing w:after="240" w:line="240" w:lineRule="auto"/>
        <w:ind w:left="284" w:right="284"/>
        <w:jc w:val="both"/>
        <w:rPr>
          <w:rFonts w:eastAsia="Times New Roman"/>
          <w:b/>
          <w:bCs/>
          <w:spacing w:val="-5"/>
        </w:rPr>
      </w:pPr>
      <w:r w:rsidRPr="00A627C4">
        <w:rPr>
          <w:rFonts w:eastAsia="Times New Roman"/>
          <w:b/>
          <w:bCs/>
          <w:spacing w:val="-5"/>
        </w:rPr>
        <w:t xml:space="preserve">f) </w:t>
      </w:r>
      <w:r w:rsidRPr="00A627C4">
        <w:rPr>
          <w:rFonts w:eastAsia="Times New Roman"/>
          <w:spacing w:val="-5"/>
        </w:rPr>
        <w:t>de se conformer aux instruments internationaux portant sur les droits de l’homme dont le Canada est signataire.</w:t>
      </w:r>
      <w:r w:rsidR="006F15F9" w:rsidRPr="00A627C4">
        <w:rPr>
          <w:rFonts w:eastAsia="Times New Roman"/>
          <w:spacing w:val="-5"/>
        </w:rPr>
        <w:t xml:space="preserve"> (nos soulignements)</w:t>
      </w:r>
    </w:p>
    <w:p w14:paraId="7C4EE817" w14:textId="77777777" w:rsidR="00226D3A" w:rsidRPr="00A627C4" w:rsidRDefault="00226D3A" w:rsidP="00226D3A">
      <w:pPr>
        <w:pStyle w:val="ListParagraph"/>
        <w:spacing w:after="240" w:line="240" w:lineRule="auto"/>
        <w:ind w:left="284" w:right="284"/>
        <w:jc w:val="both"/>
        <w:rPr>
          <w:rFonts w:eastAsia="Times New Roman"/>
          <w:spacing w:val="-5"/>
        </w:rPr>
      </w:pPr>
    </w:p>
    <w:p w14:paraId="7A2AADBE" w14:textId="5482503B" w:rsidR="00226D3A" w:rsidRPr="00A627C4" w:rsidRDefault="1E08AF20"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C’est dans cet esprit d’humanité et de justice que le Canada a mis en œuvre</w:t>
      </w:r>
      <w:r w:rsidR="5DA10103" w:rsidRPr="00A627C4">
        <w:rPr>
          <w:rFonts w:eastAsia="Times New Roman"/>
          <w:spacing w:val="-5"/>
        </w:rPr>
        <w:t xml:space="preserve"> </w:t>
      </w:r>
      <w:r w:rsidRPr="00A627C4">
        <w:rPr>
          <w:rFonts w:eastAsia="Times New Roman"/>
          <w:spacing w:val="-5"/>
        </w:rPr>
        <w:t xml:space="preserve">la </w:t>
      </w:r>
      <w:r w:rsidRPr="2F4F01E5">
        <w:rPr>
          <w:rFonts w:eastAsia="Times New Roman"/>
          <w:i/>
          <w:iCs/>
          <w:spacing w:val="-5"/>
        </w:rPr>
        <w:t xml:space="preserve">Convention des Nations Unies relative au statut de réfugié </w:t>
      </w:r>
      <w:r w:rsidRPr="00A627C4">
        <w:rPr>
          <w:rFonts w:eastAsia="Times New Roman"/>
          <w:spacing w:val="-5"/>
        </w:rPr>
        <w:t>par l’harmonisation de la LIPR à ses dispositions, en plus de l’incorporation de certaines d</w:t>
      </w:r>
      <w:r w:rsidR="5DA10103" w:rsidRPr="00A627C4">
        <w:rPr>
          <w:rFonts w:eastAsia="Times New Roman"/>
          <w:spacing w:val="-5"/>
        </w:rPr>
        <w:t>e ses définitions</w:t>
      </w:r>
      <w:r w:rsidRPr="00A627C4">
        <w:rPr>
          <w:rFonts w:eastAsia="Times New Roman"/>
          <w:spacing w:val="-5"/>
        </w:rPr>
        <w:t xml:space="preserve">. Or, comme nous </w:t>
      </w:r>
      <w:r w:rsidR="00D14AC9">
        <w:rPr>
          <w:rFonts w:eastAsia="Times New Roman"/>
          <w:spacing w:val="-5"/>
        </w:rPr>
        <w:t>l’</w:t>
      </w:r>
      <w:r w:rsidRPr="00A627C4">
        <w:rPr>
          <w:rFonts w:eastAsia="Times New Roman"/>
          <w:spacing w:val="-5"/>
        </w:rPr>
        <w:t xml:space="preserve">enseigne l’arrêt </w:t>
      </w:r>
      <w:r w:rsidRPr="2F4F01E5">
        <w:rPr>
          <w:rFonts w:eastAsia="Times New Roman"/>
          <w:i/>
          <w:iCs/>
          <w:spacing w:val="-5"/>
        </w:rPr>
        <w:t xml:space="preserve">Baker, </w:t>
      </w:r>
      <w:r w:rsidRPr="00A627C4">
        <w:rPr>
          <w:rFonts w:eastAsia="Times New Roman"/>
          <w:spacing w:val="-5"/>
        </w:rPr>
        <w:t>les conventions internationales dont le Canada se porte signataire, qu’elles soient ratifiées ou non, doivent «</w:t>
      </w:r>
      <w:r w:rsidR="00D14AC9">
        <w:rPr>
          <w:rFonts w:eastAsia="Times New Roman"/>
          <w:spacing w:val="-5"/>
        </w:rPr>
        <w:t> </w:t>
      </w:r>
      <w:r w:rsidRPr="00A627C4">
        <w:rPr>
          <w:rFonts w:eastAsia="Times New Roman"/>
          <w:spacing w:val="-5"/>
        </w:rPr>
        <w:t>être prises en compte dans l’approche contextuelle de l’interprétation des lois</w:t>
      </w:r>
      <w:r w:rsidR="00D14AC9">
        <w:rPr>
          <w:rFonts w:eastAsia="Times New Roman"/>
          <w:spacing w:val="-5"/>
        </w:rPr>
        <w:t> </w:t>
      </w:r>
      <w:r w:rsidRPr="00A627C4">
        <w:rPr>
          <w:rFonts w:eastAsia="Times New Roman"/>
          <w:spacing w:val="-5"/>
        </w:rPr>
        <w:t>»</w:t>
      </w:r>
      <w:r w:rsidR="00226D3A" w:rsidRPr="00A627C4">
        <w:rPr>
          <w:rStyle w:val="FootnoteReference"/>
          <w:rFonts w:eastAsia="Times New Roman"/>
          <w:spacing w:val="-5"/>
        </w:rPr>
        <w:footnoteReference w:id="29"/>
      </w:r>
      <w:r w:rsidRPr="00A627C4">
        <w:rPr>
          <w:rFonts w:eastAsia="Times New Roman"/>
          <w:spacing w:val="-5"/>
        </w:rPr>
        <w:t>. L’arrêt</w:t>
      </w:r>
      <w:r w:rsidR="00D14AC9">
        <w:rPr>
          <w:rFonts w:eastAsia="Times New Roman"/>
          <w:spacing w:val="-5"/>
        </w:rPr>
        <w:t> </w:t>
      </w:r>
      <w:r w:rsidRPr="2F4F01E5">
        <w:rPr>
          <w:rFonts w:eastAsia="Times New Roman"/>
          <w:i/>
          <w:iCs/>
          <w:spacing w:val="-5"/>
        </w:rPr>
        <w:t xml:space="preserve">B010 </w:t>
      </w:r>
      <w:r w:rsidRPr="00A627C4">
        <w:rPr>
          <w:rFonts w:eastAsia="Times New Roman"/>
          <w:spacing w:val="-5"/>
        </w:rPr>
        <w:t>ajoute également que :</w:t>
      </w:r>
    </w:p>
    <w:p w14:paraId="525847BC" w14:textId="1FB77814" w:rsidR="00226D3A" w:rsidRPr="00A627C4" w:rsidRDefault="00226D3A" w:rsidP="00226D3A">
      <w:pPr>
        <w:pStyle w:val="ListParagraph"/>
        <w:spacing w:after="240" w:line="240" w:lineRule="auto"/>
        <w:ind w:left="284" w:right="284"/>
        <w:jc w:val="both"/>
        <w:rPr>
          <w:rFonts w:eastAsia="Times New Roman"/>
          <w:i/>
          <w:iCs/>
          <w:spacing w:val="-5"/>
        </w:rPr>
      </w:pPr>
      <w:r w:rsidRPr="00A627C4">
        <w:rPr>
          <w:rFonts w:eastAsia="Times New Roman"/>
          <w:spacing w:val="-5"/>
        </w:rPr>
        <w:t>il ne fait aucun doute que la </w:t>
      </w:r>
      <w:r w:rsidRPr="1D828A80">
        <w:rPr>
          <w:rFonts w:eastAsia="Times New Roman"/>
          <w:i/>
          <w:iCs/>
          <w:spacing w:val="-5"/>
        </w:rPr>
        <w:t>Convention relative aux réfugiés</w:t>
      </w:r>
      <w:r w:rsidRPr="00A627C4">
        <w:rPr>
          <w:rFonts w:eastAsia="Times New Roman"/>
          <w:spacing w:val="-5"/>
        </w:rPr>
        <w:t> est un instrument de cette nature, qui s</w:t>
      </w:r>
      <w:r w:rsidR="00D14AC9">
        <w:rPr>
          <w:rFonts w:eastAsia="Times New Roman"/>
          <w:spacing w:val="-5"/>
        </w:rPr>
        <w:t>’</w:t>
      </w:r>
      <w:r w:rsidRPr="00A627C4">
        <w:rPr>
          <w:rFonts w:eastAsia="Times New Roman"/>
          <w:spacing w:val="-5"/>
        </w:rPr>
        <w:t>appuie sur le droit de toute personne de chercher asile et de bénéficier de l</w:t>
      </w:r>
      <w:r w:rsidR="00D14AC9">
        <w:rPr>
          <w:rFonts w:eastAsia="Times New Roman"/>
          <w:spacing w:val="-5"/>
        </w:rPr>
        <w:t>’</w:t>
      </w:r>
      <w:r w:rsidRPr="00A627C4">
        <w:rPr>
          <w:rFonts w:eastAsia="Times New Roman"/>
          <w:spacing w:val="-5"/>
        </w:rPr>
        <w:t>asile en d</w:t>
      </w:r>
      <w:r w:rsidR="00D14AC9">
        <w:rPr>
          <w:rFonts w:eastAsia="Times New Roman"/>
          <w:spacing w:val="-5"/>
        </w:rPr>
        <w:t>’</w:t>
      </w:r>
      <w:r w:rsidRPr="00A627C4">
        <w:rPr>
          <w:rFonts w:eastAsia="Times New Roman"/>
          <w:spacing w:val="-5"/>
        </w:rPr>
        <w:t>autres pays devant la persécution, comme l</w:t>
      </w:r>
      <w:r w:rsidR="00D14AC9">
        <w:rPr>
          <w:rFonts w:eastAsia="Times New Roman"/>
          <w:spacing w:val="-5"/>
        </w:rPr>
        <w:t>’</w:t>
      </w:r>
      <w:r w:rsidRPr="00A627C4">
        <w:rPr>
          <w:rFonts w:eastAsia="Times New Roman"/>
          <w:spacing w:val="-5"/>
        </w:rPr>
        <w:t>indique l</w:t>
      </w:r>
      <w:r w:rsidR="00D14AC9">
        <w:rPr>
          <w:rFonts w:eastAsia="Times New Roman"/>
          <w:spacing w:val="-5"/>
        </w:rPr>
        <w:t>’</w:t>
      </w:r>
      <w:r w:rsidRPr="00A627C4">
        <w:rPr>
          <w:rFonts w:eastAsia="Times New Roman"/>
          <w:spacing w:val="-5"/>
        </w:rPr>
        <w:t>art. 14 de la</w:t>
      </w:r>
      <w:r w:rsidRPr="1D828A80">
        <w:rPr>
          <w:rFonts w:eastAsia="Times New Roman"/>
          <w:i/>
          <w:iCs/>
          <w:spacing w:val="-5"/>
        </w:rPr>
        <w:t> Déclaration universelle des droits de l</w:t>
      </w:r>
      <w:r w:rsidR="00D14AC9">
        <w:rPr>
          <w:rFonts w:eastAsia="Times New Roman"/>
          <w:i/>
          <w:iCs/>
          <w:spacing w:val="-5"/>
        </w:rPr>
        <w:t>’</w:t>
      </w:r>
      <w:r w:rsidRPr="1D828A80">
        <w:rPr>
          <w:rFonts w:eastAsia="Times New Roman"/>
          <w:i/>
          <w:iCs/>
          <w:spacing w:val="-5"/>
        </w:rPr>
        <w:t>homme.</w:t>
      </w:r>
      <w:r w:rsidRPr="1D828A80">
        <w:rPr>
          <w:rStyle w:val="FootnoteReference"/>
          <w:rFonts w:eastAsia="Times New Roman"/>
          <w:i/>
          <w:iCs/>
          <w:spacing w:val="-5"/>
        </w:rPr>
        <w:footnoteReference w:id="30"/>
      </w:r>
    </w:p>
    <w:p w14:paraId="1FC4DEED" w14:textId="77777777" w:rsidR="00226D3A" w:rsidRPr="00A627C4" w:rsidRDefault="00226D3A" w:rsidP="00226D3A">
      <w:pPr>
        <w:pStyle w:val="ListParagraph"/>
        <w:spacing w:after="240" w:line="240" w:lineRule="auto"/>
        <w:ind w:left="284" w:right="284"/>
        <w:jc w:val="both"/>
        <w:rPr>
          <w:rFonts w:eastAsia="Times New Roman"/>
          <w:spacing w:val="-5"/>
        </w:rPr>
      </w:pPr>
    </w:p>
    <w:p w14:paraId="6C973B3A" w14:textId="4D690D75" w:rsidR="00544CAC" w:rsidRPr="00DA7F6E" w:rsidRDefault="00720457" w:rsidP="00345784">
      <w:pPr>
        <w:pStyle w:val="ListParagraph"/>
        <w:numPr>
          <w:ilvl w:val="0"/>
          <w:numId w:val="7"/>
        </w:numPr>
        <w:spacing w:after="240" w:line="480" w:lineRule="auto"/>
        <w:ind w:left="0" w:firstLine="357"/>
        <w:jc w:val="both"/>
        <w:rPr>
          <w:rFonts w:eastAsia="Times New Roman"/>
          <w:spacing w:val="-5"/>
        </w:rPr>
      </w:pPr>
      <w:r>
        <w:t>De plus, l</w:t>
      </w:r>
      <w:r w:rsidR="00381EA9">
        <w:t xml:space="preserve">e Canada et le Bangladesh ont ratifié la </w:t>
      </w:r>
      <w:r w:rsidR="00381EA9" w:rsidRPr="00720457">
        <w:rPr>
          <w:i/>
          <w:iCs/>
        </w:rPr>
        <w:t>Convention relative aux droits de l</w:t>
      </w:r>
      <w:r w:rsidR="00D14AC9">
        <w:rPr>
          <w:i/>
          <w:iCs/>
        </w:rPr>
        <w:t>’</w:t>
      </w:r>
      <w:r w:rsidR="00381EA9" w:rsidRPr="00720457">
        <w:rPr>
          <w:i/>
          <w:iCs/>
        </w:rPr>
        <w:t>enfant</w:t>
      </w:r>
      <w:r>
        <w:rPr>
          <w:rStyle w:val="FootnoteReference"/>
          <w:i/>
          <w:iCs/>
        </w:rPr>
        <w:footnoteReference w:id="31"/>
      </w:r>
      <w:r w:rsidR="1EEF4666">
        <w:t>.</w:t>
      </w:r>
      <w:r w:rsidR="00381EA9">
        <w:t xml:space="preserve"> Le Canada et le Bangladesh ont émis plusieurs réserves. Le Canada et le Bangladesh n</w:t>
      </w:r>
      <w:r w:rsidR="00D14AC9">
        <w:t>’</w:t>
      </w:r>
      <w:r w:rsidR="00381EA9">
        <w:t>ont pas formulé d’objection quant à ces réserves. Les réserves du Canada ne sont pas pertinentes en l’espèce. Les deux réserves du Bangladesh concernant</w:t>
      </w:r>
      <w:r w:rsidR="00D14AC9">
        <w:t xml:space="preserve"> les</w:t>
      </w:r>
      <w:r w:rsidR="00DA7F55">
        <w:t xml:space="preserve"> </w:t>
      </w:r>
      <w:r w:rsidR="00381EA9">
        <w:t>article</w:t>
      </w:r>
      <w:r w:rsidR="00D14AC9">
        <w:t>s </w:t>
      </w:r>
      <w:r w:rsidR="00381EA9">
        <w:t xml:space="preserve">14 </w:t>
      </w:r>
      <w:r w:rsidR="00DA7F55">
        <w:t xml:space="preserve">et </w:t>
      </w:r>
      <w:r w:rsidR="00381EA9">
        <w:t>21 de la Convention s’appliqueront sous réserve des lois et pratiques du Bangladesh. L’article</w:t>
      </w:r>
      <w:r w:rsidR="00D14AC9">
        <w:t> </w:t>
      </w:r>
      <w:r w:rsidR="00381EA9">
        <w:t>14 porte sur la liberté de pensée, de conscience et de religion. L’article</w:t>
      </w:r>
      <w:r w:rsidR="00D14AC9">
        <w:t> </w:t>
      </w:r>
      <w:r w:rsidR="00381EA9">
        <w:t>21 porte sur l’intérêt supérieur de l’enfant.</w:t>
      </w:r>
      <w:r w:rsidR="00DA7F6E">
        <w:t xml:space="preserve"> </w:t>
      </w:r>
    </w:p>
    <w:p w14:paraId="6376DFF0" w14:textId="3A04BC33" w:rsidR="00DA7F6E" w:rsidRPr="00263303" w:rsidRDefault="00200FB0" w:rsidP="00345784">
      <w:pPr>
        <w:pStyle w:val="ListParagraph"/>
        <w:numPr>
          <w:ilvl w:val="0"/>
          <w:numId w:val="7"/>
        </w:numPr>
        <w:spacing w:after="240" w:line="480" w:lineRule="auto"/>
        <w:ind w:left="0" w:firstLine="357"/>
        <w:jc w:val="both"/>
        <w:rPr>
          <w:rFonts w:eastAsia="Times New Roman"/>
        </w:rPr>
      </w:pPr>
      <w:r>
        <w:t>Il faut être particulièrement sensible à cette convention dans le cadre du présent appel, c</w:t>
      </w:r>
      <w:r w:rsidR="00F731A2">
        <w:t>omme</w:t>
      </w:r>
      <w:r w:rsidR="00DA7F6E">
        <w:t xml:space="preserve"> M.</w:t>
      </w:r>
      <w:r w:rsidR="00D14AC9">
        <w:t> </w:t>
      </w:r>
      <w:r w:rsidR="00DA7F6E">
        <w:t>Chowdhury</w:t>
      </w:r>
      <w:r w:rsidR="00F731A2">
        <w:t>, qui a un fils,</w:t>
      </w:r>
      <w:r w:rsidR="00DA7F6E">
        <w:t xml:space="preserve"> </w:t>
      </w:r>
      <w:r w:rsidR="00E15C95">
        <w:t>«</w:t>
      </w:r>
      <w:r w:rsidR="00D14AC9">
        <w:t> </w:t>
      </w:r>
      <w:r w:rsidR="00DA7F6E">
        <w:t>cache son orientation sexuelle dans un pays musulman et une société présentant des sentiments homophobes</w:t>
      </w:r>
      <w:r w:rsidR="00DA7F6E" w:rsidRPr="07ABB96B">
        <w:rPr>
          <w:rStyle w:val="FootnoteReference"/>
        </w:rPr>
        <w:footnoteReference w:id="32"/>
      </w:r>
      <w:r w:rsidR="00D14AC9">
        <w:t> </w:t>
      </w:r>
      <w:r w:rsidR="00E15C95">
        <w:t>»</w:t>
      </w:r>
      <w:r>
        <w:t xml:space="preserve">. Sa </w:t>
      </w:r>
      <w:r w:rsidR="00DA7F6E">
        <w:t>déportation au Bangladesh pourrait lui causer la mort ou un emprisonnement à vie</w:t>
      </w:r>
      <w:r w:rsidR="00263303">
        <w:rPr>
          <w:rStyle w:val="FootnoteReference"/>
        </w:rPr>
        <w:footnoteReference w:id="33"/>
      </w:r>
      <w:r w:rsidR="00DA7F6E">
        <w:t>. Dans ce cas, son fils de quatre ans aurait à subir les conséquences de cette déportation, soit de vivre une vie sans la présence de son père. Ce ne serait pas dans l’intérêt supérieur de l’enfant de vivre sans un parent</w:t>
      </w:r>
      <w:r w:rsidR="00263303">
        <w:t>.</w:t>
      </w:r>
    </w:p>
    <w:p w14:paraId="6CC8B5CD" w14:textId="52362D1A" w:rsidR="795848D7" w:rsidRDefault="1C17DBE9" w:rsidP="16886890">
      <w:pPr>
        <w:pStyle w:val="ListParagraph"/>
        <w:numPr>
          <w:ilvl w:val="0"/>
          <w:numId w:val="7"/>
        </w:numPr>
        <w:spacing w:after="240" w:line="480" w:lineRule="auto"/>
        <w:ind w:left="0" w:firstLine="357"/>
        <w:jc w:val="both"/>
      </w:pPr>
      <w:r>
        <w:t xml:space="preserve">Également, la </w:t>
      </w:r>
      <w:r w:rsidRPr="05D8E17E">
        <w:rPr>
          <w:i/>
        </w:rPr>
        <w:t>Déclaration universelle des droits de l’homme</w:t>
      </w:r>
      <w:r w:rsidR="795848D7" w:rsidRPr="59F483E0">
        <w:rPr>
          <w:rStyle w:val="FootnoteReference"/>
          <w:i/>
          <w:iCs/>
        </w:rPr>
        <w:footnoteReference w:id="34"/>
      </w:r>
      <w:r w:rsidRPr="05D8E17E">
        <w:rPr>
          <w:i/>
        </w:rPr>
        <w:t xml:space="preserve"> </w:t>
      </w:r>
      <w:r>
        <w:t xml:space="preserve">prévoit que </w:t>
      </w:r>
      <w:r w:rsidR="4F791981">
        <w:t>«</w:t>
      </w:r>
      <w:r w:rsidR="00D14AC9">
        <w:t> </w:t>
      </w:r>
      <w:r w:rsidR="5D7D19D5">
        <w:t>[</w:t>
      </w:r>
      <w:r w:rsidR="1983E019">
        <w:t>t</w:t>
      </w:r>
      <w:r w:rsidR="2690BD65">
        <w:t>]</w:t>
      </w:r>
      <w:r w:rsidR="1983E019">
        <w:t>out</w:t>
      </w:r>
      <w:r>
        <w:t xml:space="preserve"> individu a droit à la vie, à la liberté et à la sûreté de sa personne</w:t>
      </w:r>
      <w:r w:rsidR="00D14AC9">
        <w:t> </w:t>
      </w:r>
      <w:r w:rsidR="19B60090">
        <w:t>»</w:t>
      </w:r>
      <w:r w:rsidR="31F3A53E">
        <w:t>.</w:t>
      </w:r>
      <w:r>
        <w:t xml:space="preserve"> </w:t>
      </w:r>
    </w:p>
    <w:p w14:paraId="14437F2B" w14:textId="0A58050F" w:rsidR="00226D3A" w:rsidRPr="00A627C4" w:rsidRDefault="2BCBB725"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C’est dans ce contexte que doit être interprét</w:t>
      </w:r>
      <w:r w:rsidR="00D14AC9">
        <w:rPr>
          <w:rFonts w:eastAsia="Times New Roman"/>
          <w:spacing w:val="-5"/>
        </w:rPr>
        <w:t>ée</w:t>
      </w:r>
      <w:r w:rsidRPr="00A627C4">
        <w:rPr>
          <w:rFonts w:eastAsia="Times New Roman"/>
          <w:spacing w:val="-5"/>
        </w:rPr>
        <w:t xml:space="preserve"> la LIPR, incluant ses dispositions visant les interdictions de territoire, </w:t>
      </w:r>
      <w:r w:rsidR="7B990241" w:rsidRPr="00A627C4">
        <w:rPr>
          <w:rFonts w:eastAsia="Times New Roman"/>
          <w:spacing w:val="-5"/>
        </w:rPr>
        <w:t>qui touchent directement les objectifs de la loi à l’égard des réfugiés.</w:t>
      </w:r>
    </w:p>
    <w:p w14:paraId="2AC59FFD" w14:textId="788CEDEF" w:rsidR="00824165" w:rsidRPr="00A627C4" w:rsidRDefault="009B7873" w:rsidP="00B51673">
      <w:pPr>
        <w:pStyle w:val="ListParagraph"/>
        <w:numPr>
          <w:ilvl w:val="1"/>
          <w:numId w:val="10"/>
        </w:numPr>
        <w:spacing w:after="240"/>
        <w:jc w:val="both"/>
        <w:rPr>
          <w:rFonts w:eastAsia="Times New Roman"/>
          <w:b/>
          <w:bCs/>
          <w:spacing w:val="-5"/>
        </w:rPr>
      </w:pPr>
      <w:r w:rsidRPr="00A627C4">
        <w:rPr>
          <w:rFonts w:eastAsia="Times New Roman"/>
          <w:b/>
          <w:bCs/>
          <w:spacing w:val="-5"/>
        </w:rPr>
        <w:t>L’interprétation des alinéas 34</w:t>
      </w:r>
      <w:r w:rsidR="00D14AC9">
        <w:rPr>
          <w:rFonts w:eastAsia="Times New Roman"/>
          <w:b/>
          <w:bCs/>
          <w:spacing w:val="-5"/>
        </w:rPr>
        <w:t xml:space="preserve"> </w:t>
      </w:r>
      <w:r w:rsidRPr="00A627C4">
        <w:rPr>
          <w:rFonts w:eastAsia="Times New Roman"/>
          <w:b/>
          <w:bCs/>
          <w:spacing w:val="-5"/>
        </w:rPr>
        <w:t>(1)</w:t>
      </w:r>
      <w:r w:rsidR="00D14AC9">
        <w:rPr>
          <w:rFonts w:eastAsia="Times New Roman"/>
          <w:b/>
          <w:bCs/>
          <w:spacing w:val="-5"/>
        </w:rPr>
        <w:t xml:space="preserve"> </w:t>
      </w:r>
      <w:r w:rsidRPr="00A627C4">
        <w:rPr>
          <w:rFonts w:eastAsia="Times New Roman"/>
          <w:b/>
          <w:bCs/>
          <w:spacing w:val="-5"/>
        </w:rPr>
        <w:t>b) et f) de la LIPR</w:t>
      </w:r>
    </w:p>
    <w:p w14:paraId="2902BE7E" w14:textId="084A705F" w:rsidR="00CE6684" w:rsidRPr="00A627C4" w:rsidRDefault="00226D3A" w:rsidP="00B51673">
      <w:pPr>
        <w:pStyle w:val="ListParagraph"/>
        <w:numPr>
          <w:ilvl w:val="2"/>
          <w:numId w:val="10"/>
        </w:numPr>
        <w:spacing w:after="240"/>
        <w:jc w:val="both"/>
        <w:rPr>
          <w:rFonts w:eastAsia="Times New Roman"/>
          <w:b/>
          <w:bCs/>
          <w:spacing w:val="-5"/>
        </w:rPr>
      </w:pPr>
      <w:r w:rsidRPr="00A627C4">
        <w:rPr>
          <w:rFonts w:eastAsia="Times New Roman"/>
          <w:b/>
          <w:bCs/>
          <w:spacing w:val="-5"/>
        </w:rPr>
        <w:t>La norme de preuve applicable</w:t>
      </w:r>
    </w:p>
    <w:p w14:paraId="461B11ED" w14:textId="2C314492" w:rsidR="00A11853" w:rsidRPr="00A627C4" w:rsidRDefault="47FF9022" w:rsidP="00A11853">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L’examen d’une interdiction de territoire en raison d’une appartenance à une organisation visant le renversement d’un gouvernement par la force, tel qu’en l’espèce, comporte deux étapes</w:t>
      </w:r>
      <w:r w:rsidR="005A1055" w:rsidRPr="00A627C4">
        <w:rPr>
          <w:rStyle w:val="FootnoteReference"/>
          <w:rFonts w:eastAsia="Times New Roman"/>
          <w:spacing w:val="-5"/>
        </w:rPr>
        <w:footnoteReference w:id="35"/>
      </w:r>
      <w:r w:rsidR="379842D3" w:rsidRPr="00A627C4">
        <w:rPr>
          <w:rFonts w:eastAsia="Times New Roman"/>
          <w:spacing w:val="-5"/>
        </w:rPr>
        <w:t>. Tout d’abord, l’agent doit déterminer s’il a des motifs raisonnables de croire que l’organisation a tenté, tente ou tentera de renverser le gouvernement en place par la force au sens de l’article 34</w:t>
      </w:r>
      <w:r w:rsidR="00D14AC9">
        <w:rPr>
          <w:rFonts w:eastAsia="Times New Roman"/>
          <w:spacing w:val="-5"/>
        </w:rPr>
        <w:t xml:space="preserve"> </w:t>
      </w:r>
      <w:r w:rsidR="379842D3" w:rsidRPr="00A627C4">
        <w:rPr>
          <w:rFonts w:eastAsia="Times New Roman"/>
          <w:spacing w:val="-5"/>
        </w:rPr>
        <w:t>(1)</w:t>
      </w:r>
      <w:r w:rsidR="00D14AC9">
        <w:rPr>
          <w:rFonts w:eastAsia="Times New Roman"/>
          <w:spacing w:val="-5"/>
        </w:rPr>
        <w:t xml:space="preserve"> </w:t>
      </w:r>
      <w:r w:rsidR="379842D3" w:rsidRPr="00A627C4">
        <w:rPr>
          <w:rFonts w:eastAsia="Times New Roman"/>
          <w:spacing w:val="-5"/>
        </w:rPr>
        <w:t>b)</w:t>
      </w:r>
      <w:r w:rsidR="21A21CC3" w:rsidRPr="00A627C4">
        <w:rPr>
          <w:rFonts w:eastAsia="Times New Roman"/>
          <w:spacing w:val="-5"/>
        </w:rPr>
        <w:t xml:space="preserve"> de la LIPR</w:t>
      </w:r>
      <w:r w:rsidR="379842D3" w:rsidRPr="00A627C4">
        <w:rPr>
          <w:rFonts w:eastAsia="Times New Roman"/>
          <w:spacing w:val="-5"/>
        </w:rPr>
        <w:t>. Ensuite, l’agent doit déterminer si le demandeur est bien membre de cette organisation en vertu de l’alinéa</w:t>
      </w:r>
      <w:r w:rsidR="00D14AC9">
        <w:rPr>
          <w:rFonts w:eastAsia="Times New Roman"/>
          <w:spacing w:val="-5"/>
        </w:rPr>
        <w:t> </w:t>
      </w:r>
      <w:r w:rsidR="379842D3" w:rsidRPr="00A627C4">
        <w:rPr>
          <w:rFonts w:eastAsia="Times New Roman"/>
          <w:spacing w:val="-5"/>
        </w:rPr>
        <w:t>34</w:t>
      </w:r>
      <w:r w:rsidR="00D14AC9">
        <w:rPr>
          <w:rFonts w:eastAsia="Times New Roman"/>
          <w:spacing w:val="-5"/>
        </w:rPr>
        <w:t xml:space="preserve"> </w:t>
      </w:r>
      <w:r w:rsidR="379842D3" w:rsidRPr="00A627C4">
        <w:rPr>
          <w:rFonts w:eastAsia="Times New Roman"/>
          <w:spacing w:val="-5"/>
        </w:rPr>
        <w:t>(1)</w:t>
      </w:r>
      <w:r w:rsidR="00D14AC9">
        <w:rPr>
          <w:rFonts w:eastAsia="Times New Roman"/>
          <w:spacing w:val="-5"/>
        </w:rPr>
        <w:t xml:space="preserve"> </w:t>
      </w:r>
      <w:r w:rsidR="379842D3" w:rsidRPr="00A627C4">
        <w:rPr>
          <w:rFonts w:eastAsia="Times New Roman"/>
          <w:spacing w:val="-5"/>
        </w:rPr>
        <w:t>f)</w:t>
      </w:r>
      <w:r w:rsidR="43D25FC3" w:rsidRPr="00A627C4">
        <w:rPr>
          <w:rFonts w:eastAsia="Times New Roman"/>
          <w:spacing w:val="-5"/>
        </w:rPr>
        <w:t xml:space="preserve"> de la LIPR</w:t>
      </w:r>
      <w:r w:rsidR="379842D3" w:rsidRPr="00A627C4">
        <w:rPr>
          <w:rFonts w:eastAsia="Times New Roman"/>
          <w:spacing w:val="-5"/>
        </w:rPr>
        <w:t>. Les alinéas pertinents de l’article</w:t>
      </w:r>
      <w:r w:rsidR="00D14AC9">
        <w:rPr>
          <w:rFonts w:eastAsia="Times New Roman"/>
          <w:spacing w:val="-5"/>
        </w:rPr>
        <w:t> </w:t>
      </w:r>
      <w:r w:rsidR="379842D3" w:rsidRPr="00A627C4">
        <w:rPr>
          <w:rFonts w:eastAsia="Times New Roman"/>
          <w:spacing w:val="-5"/>
        </w:rPr>
        <w:t>34 se lisent comme suit</w:t>
      </w:r>
      <w:r w:rsidR="00D14AC9">
        <w:rPr>
          <w:rFonts w:eastAsia="Times New Roman"/>
          <w:spacing w:val="-5"/>
        </w:rPr>
        <w:t> </w:t>
      </w:r>
      <w:r w:rsidR="379842D3" w:rsidRPr="00A627C4">
        <w:rPr>
          <w:rFonts w:eastAsia="Times New Roman"/>
          <w:spacing w:val="-5"/>
        </w:rPr>
        <w:t>:</w:t>
      </w:r>
    </w:p>
    <w:p w14:paraId="02DD1D70" w14:textId="792059D2" w:rsidR="00A11853" w:rsidRPr="00A627C4" w:rsidRDefault="00B95BDA" w:rsidP="00A11853">
      <w:pPr>
        <w:pStyle w:val="ListParagraph"/>
        <w:spacing w:after="240" w:line="240" w:lineRule="auto"/>
        <w:ind w:left="284" w:right="284"/>
        <w:jc w:val="both"/>
        <w:rPr>
          <w:spacing w:val="-5"/>
        </w:rPr>
      </w:pPr>
      <w:r w:rsidRPr="00A627C4">
        <w:rPr>
          <w:b/>
          <w:bCs/>
          <w:spacing w:val="-5"/>
        </w:rPr>
        <w:t xml:space="preserve">34 (1) </w:t>
      </w:r>
      <w:r w:rsidRPr="00A627C4">
        <w:rPr>
          <w:spacing w:val="-5"/>
        </w:rPr>
        <w:t>Emportent interdiction de territoire pour raison de sécurité les faits suivants</w:t>
      </w:r>
      <w:r w:rsidR="00D14AC9">
        <w:rPr>
          <w:spacing w:val="-5"/>
        </w:rPr>
        <w:t> </w:t>
      </w:r>
      <w:r w:rsidRPr="00A627C4">
        <w:rPr>
          <w:spacing w:val="-5"/>
        </w:rPr>
        <w:t xml:space="preserve">: </w:t>
      </w:r>
    </w:p>
    <w:p w14:paraId="0D15A23B" w14:textId="77777777" w:rsidR="00A11853" w:rsidRPr="00A627C4" w:rsidRDefault="00B95BDA" w:rsidP="00A11853">
      <w:pPr>
        <w:pStyle w:val="ListParagraph"/>
        <w:spacing w:after="240" w:line="240" w:lineRule="auto"/>
        <w:ind w:left="284" w:right="284"/>
        <w:jc w:val="both"/>
        <w:rPr>
          <w:spacing w:val="-5"/>
        </w:rPr>
      </w:pPr>
      <w:r w:rsidRPr="00A627C4">
        <w:rPr>
          <w:spacing w:val="-5"/>
        </w:rPr>
        <w:t xml:space="preserve">[...] </w:t>
      </w:r>
    </w:p>
    <w:p w14:paraId="20E5DA30" w14:textId="2FEFCA79" w:rsidR="00A11853" w:rsidRPr="00A627C4" w:rsidRDefault="00B95BDA" w:rsidP="00A11853">
      <w:pPr>
        <w:pStyle w:val="ListParagraph"/>
        <w:spacing w:after="240" w:line="240" w:lineRule="auto"/>
        <w:ind w:left="284" w:right="284"/>
        <w:jc w:val="both"/>
        <w:rPr>
          <w:spacing w:val="-5"/>
        </w:rPr>
      </w:pPr>
      <w:r w:rsidRPr="00A627C4">
        <w:rPr>
          <w:b/>
          <w:bCs/>
          <w:spacing w:val="-5"/>
        </w:rPr>
        <w:t xml:space="preserve">b) </w:t>
      </w:r>
      <w:r w:rsidRPr="00A627C4">
        <w:rPr>
          <w:spacing w:val="-5"/>
        </w:rPr>
        <w:t>être l’instigateur ou l’auteur d’actes visant au renversement d’un gouvernement par la force</w:t>
      </w:r>
      <w:r w:rsidR="00D14AC9">
        <w:rPr>
          <w:spacing w:val="-5"/>
        </w:rPr>
        <w:t> </w:t>
      </w:r>
      <w:r w:rsidRPr="00A627C4">
        <w:rPr>
          <w:spacing w:val="-5"/>
        </w:rPr>
        <w:t>;</w:t>
      </w:r>
    </w:p>
    <w:p w14:paraId="3E127742" w14:textId="77777777" w:rsidR="00A11853" w:rsidRPr="00A627C4" w:rsidRDefault="00B95BDA" w:rsidP="00A11853">
      <w:pPr>
        <w:pStyle w:val="ListParagraph"/>
        <w:spacing w:after="240" w:line="240" w:lineRule="auto"/>
        <w:ind w:left="284" w:right="284"/>
        <w:jc w:val="both"/>
        <w:rPr>
          <w:spacing w:val="-5"/>
        </w:rPr>
      </w:pPr>
      <w:r w:rsidRPr="00A627C4">
        <w:rPr>
          <w:spacing w:val="-5"/>
        </w:rPr>
        <w:t xml:space="preserve">[...] </w:t>
      </w:r>
    </w:p>
    <w:p w14:paraId="654AAB63" w14:textId="049A4E74" w:rsidR="00B95BDA" w:rsidRPr="00A627C4" w:rsidRDefault="00B95BDA" w:rsidP="00A11853">
      <w:pPr>
        <w:pStyle w:val="ListParagraph"/>
        <w:spacing w:after="240" w:line="240" w:lineRule="auto"/>
        <w:ind w:left="284" w:right="284"/>
        <w:jc w:val="both"/>
        <w:rPr>
          <w:spacing w:val="-5"/>
        </w:rPr>
      </w:pPr>
      <w:r w:rsidRPr="00A627C4">
        <w:rPr>
          <w:b/>
          <w:bCs/>
          <w:spacing w:val="-5"/>
        </w:rPr>
        <w:t xml:space="preserve">f) </w:t>
      </w:r>
      <w:r w:rsidRPr="00A627C4">
        <w:rPr>
          <w:spacing w:val="-5"/>
        </w:rPr>
        <w:t>être membre d’une organisation dont il y a des motifs raisonnables de croire qu’elle est, a été ou sera l’auteur d’un acte visé aux alinéas a), b), b.1) ou c).</w:t>
      </w:r>
    </w:p>
    <w:p w14:paraId="2EC06D6B" w14:textId="77777777" w:rsidR="00A11853" w:rsidRPr="00A627C4" w:rsidRDefault="00A11853" w:rsidP="00A11853">
      <w:pPr>
        <w:pStyle w:val="ListParagraph"/>
        <w:spacing w:after="240" w:line="240" w:lineRule="auto"/>
        <w:ind w:left="357"/>
        <w:jc w:val="both"/>
        <w:rPr>
          <w:rFonts w:eastAsia="Times New Roman"/>
          <w:spacing w:val="-5"/>
        </w:rPr>
      </w:pPr>
    </w:p>
    <w:p w14:paraId="07F7AF8A" w14:textId="6922C3C0" w:rsidR="00B95BDA" w:rsidRPr="00A627C4" w:rsidRDefault="13AD4AF5"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Les conclusions faites en vertu de l’article</w:t>
      </w:r>
      <w:r w:rsidR="00D14AC9">
        <w:rPr>
          <w:rFonts w:eastAsia="Times New Roman"/>
          <w:spacing w:val="-5"/>
        </w:rPr>
        <w:t> </w:t>
      </w:r>
      <w:r w:rsidRPr="00A627C4">
        <w:rPr>
          <w:rFonts w:eastAsia="Times New Roman"/>
          <w:spacing w:val="-5"/>
        </w:rPr>
        <w:t>34 de la LIPR s’évaluent selon la norme prévue à l’article</w:t>
      </w:r>
      <w:r w:rsidR="00D14AC9">
        <w:rPr>
          <w:rFonts w:eastAsia="Times New Roman"/>
          <w:spacing w:val="-5"/>
        </w:rPr>
        <w:t> </w:t>
      </w:r>
      <w:r w:rsidRPr="00A627C4">
        <w:rPr>
          <w:rFonts w:eastAsia="Times New Roman"/>
          <w:spacing w:val="-5"/>
        </w:rPr>
        <w:t>33 de la LIPR</w:t>
      </w:r>
      <w:r w:rsidR="00D14AC9">
        <w:rPr>
          <w:rFonts w:eastAsia="Times New Roman"/>
          <w:spacing w:val="-5"/>
        </w:rPr>
        <w:t> </w:t>
      </w:r>
      <w:r w:rsidRPr="00A627C4">
        <w:rPr>
          <w:rFonts w:eastAsia="Times New Roman"/>
          <w:spacing w:val="-5"/>
        </w:rPr>
        <w:t>:</w:t>
      </w:r>
    </w:p>
    <w:p w14:paraId="434CD2C0" w14:textId="28028AA0" w:rsidR="00B95BDA" w:rsidRPr="00A627C4" w:rsidRDefault="00B95BDA" w:rsidP="00B95BDA">
      <w:pPr>
        <w:pStyle w:val="ListParagraph"/>
        <w:spacing w:after="240" w:line="240" w:lineRule="auto"/>
        <w:ind w:left="284" w:right="284"/>
        <w:jc w:val="both"/>
        <w:rPr>
          <w:rFonts w:eastAsia="Times New Roman"/>
          <w:spacing w:val="-5"/>
        </w:rPr>
      </w:pPr>
      <w:r w:rsidRPr="00A627C4">
        <w:rPr>
          <w:rFonts w:eastAsia="Times New Roman"/>
          <w:b/>
          <w:bCs/>
          <w:spacing w:val="-5"/>
        </w:rPr>
        <w:t xml:space="preserve">33 </w:t>
      </w:r>
      <w:r w:rsidRPr="00A627C4">
        <w:rPr>
          <w:rFonts w:eastAsia="Times New Roman"/>
          <w:spacing w:val="-5"/>
        </w:rPr>
        <w:t>Les faits — actes ou omissions — mentionnés aux articles</w:t>
      </w:r>
      <w:r w:rsidR="00D14AC9">
        <w:rPr>
          <w:rFonts w:eastAsia="Times New Roman"/>
          <w:spacing w:val="-5"/>
        </w:rPr>
        <w:t> </w:t>
      </w:r>
      <w:r w:rsidRPr="00A627C4">
        <w:rPr>
          <w:rFonts w:eastAsia="Times New Roman"/>
          <w:spacing w:val="-5"/>
        </w:rPr>
        <w:t>34 à 37 sont, sauf disposition contraire, appréciés sur la base de motifs raisonnables de croire qu’ils sont survenus, surviennent ou peuvent survenir.</w:t>
      </w:r>
    </w:p>
    <w:p w14:paraId="6AB60340" w14:textId="77777777" w:rsidR="0076023D" w:rsidRPr="00A627C4" w:rsidRDefault="0076023D" w:rsidP="00B95BDA">
      <w:pPr>
        <w:pStyle w:val="ListParagraph"/>
        <w:spacing w:after="240" w:line="240" w:lineRule="auto"/>
        <w:ind w:left="284" w:right="284"/>
        <w:jc w:val="both"/>
        <w:rPr>
          <w:rFonts w:eastAsia="Times New Roman"/>
          <w:spacing w:val="-5"/>
        </w:rPr>
      </w:pPr>
    </w:p>
    <w:p w14:paraId="5CFBD549" w14:textId="2CEA8BBE" w:rsidR="00097F5E" w:rsidRPr="00A627C4" w:rsidRDefault="211453DC"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En vertu de cet article, il est nécessaire d’avoir</w:t>
      </w:r>
      <w:r w:rsidR="01F46254" w:rsidRPr="00A627C4">
        <w:rPr>
          <w:rFonts w:eastAsia="Times New Roman"/>
          <w:spacing w:val="-5"/>
        </w:rPr>
        <w:t xml:space="preserve"> des</w:t>
      </w:r>
      <w:r w:rsidRPr="00A627C4">
        <w:rPr>
          <w:rFonts w:eastAsia="Times New Roman"/>
          <w:spacing w:val="-5"/>
        </w:rPr>
        <w:t xml:space="preserve"> «</w:t>
      </w:r>
      <w:r w:rsidR="00D14AC9">
        <w:rPr>
          <w:rFonts w:eastAsia="Times New Roman"/>
          <w:spacing w:val="-5"/>
        </w:rPr>
        <w:t> </w:t>
      </w:r>
      <w:r w:rsidRPr="00A627C4">
        <w:rPr>
          <w:rFonts w:eastAsia="Times New Roman"/>
          <w:spacing w:val="-5"/>
        </w:rPr>
        <w:t>motifs raisonnables de croire</w:t>
      </w:r>
      <w:r w:rsidR="00D14AC9">
        <w:rPr>
          <w:rFonts w:eastAsia="Times New Roman"/>
          <w:spacing w:val="-5"/>
        </w:rPr>
        <w:t> </w:t>
      </w:r>
      <w:r w:rsidRPr="00A627C4">
        <w:rPr>
          <w:rFonts w:eastAsia="Times New Roman"/>
          <w:spacing w:val="-5"/>
        </w:rPr>
        <w:t>» pour qu’un étranger soit visé par un des motifs d’interdiction de territoire prévus aux articles</w:t>
      </w:r>
      <w:r w:rsidR="00D14AC9">
        <w:rPr>
          <w:rFonts w:eastAsia="Times New Roman"/>
          <w:spacing w:val="-5"/>
        </w:rPr>
        <w:t> </w:t>
      </w:r>
      <w:r w:rsidRPr="00A627C4">
        <w:rPr>
          <w:rFonts w:eastAsia="Times New Roman"/>
          <w:spacing w:val="-5"/>
        </w:rPr>
        <w:t>34 à 37 de la LIPR.</w:t>
      </w:r>
      <w:r w:rsidR="6F5F6BA4" w:rsidRPr="00A627C4">
        <w:rPr>
          <w:rFonts w:eastAsia="Times New Roman"/>
          <w:spacing w:val="-5"/>
        </w:rPr>
        <w:t xml:space="preserve"> </w:t>
      </w:r>
      <w:r w:rsidR="43BE4203" w:rsidRPr="00A627C4">
        <w:rPr>
          <w:rFonts w:eastAsia="Times New Roman"/>
          <w:spacing w:val="-5"/>
        </w:rPr>
        <w:t>Cette norme de preuve</w:t>
      </w:r>
      <w:r w:rsidR="405B517C" w:rsidRPr="00A627C4">
        <w:rPr>
          <w:rFonts w:eastAsia="Times New Roman"/>
          <w:spacing w:val="-5"/>
        </w:rPr>
        <w:t xml:space="preserve">, </w:t>
      </w:r>
      <w:r w:rsidR="43BE4203" w:rsidRPr="00A627C4">
        <w:rPr>
          <w:rFonts w:eastAsia="Times New Roman"/>
          <w:spacing w:val="-5"/>
        </w:rPr>
        <w:t>exige</w:t>
      </w:r>
      <w:r w:rsidR="405B517C" w:rsidRPr="00A627C4">
        <w:rPr>
          <w:rFonts w:eastAsia="Times New Roman"/>
          <w:spacing w:val="-5"/>
        </w:rPr>
        <w:t>ant</w:t>
      </w:r>
      <w:r w:rsidR="43BE4203" w:rsidRPr="00A627C4">
        <w:rPr>
          <w:rFonts w:eastAsia="Times New Roman"/>
          <w:spacing w:val="-5"/>
        </w:rPr>
        <w:t xml:space="preserve"> davantage qu’un simple soupçon, mais </w:t>
      </w:r>
      <w:r w:rsidR="405B517C" w:rsidRPr="00A627C4">
        <w:rPr>
          <w:rFonts w:eastAsia="Times New Roman"/>
          <w:spacing w:val="-5"/>
        </w:rPr>
        <w:t>étant</w:t>
      </w:r>
      <w:r w:rsidR="43BE4203" w:rsidRPr="00A627C4">
        <w:rPr>
          <w:rFonts w:eastAsia="Times New Roman"/>
          <w:spacing w:val="-5"/>
        </w:rPr>
        <w:t xml:space="preserve"> moins stricte que celle de la prépondérance des probabilités applicable en matière civile</w:t>
      </w:r>
      <w:r w:rsidR="405B517C" w:rsidRPr="00A627C4">
        <w:rPr>
          <w:rFonts w:eastAsia="Times New Roman"/>
          <w:spacing w:val="-5"/>
        </w:rPr>
        <w:t>, nécessite également</w:t>
      </w:r>
      <w:r w:rsidR="43BE4203" w:rsidRPr="00A627C4">
        <w:rPr>
          <w:rFonts w:eastAsia="Times New Roman"/>
          <w:spacing w:val="-5"/>
        </w:rPr>
        <w:t xml:space="preserve"> «</w:t>
      </w:r>
      <w:r w:rsidR="00D14AC9">
        <w:rPr>
          <w:rFonts w:eastAsia="Times New Roman"/>
          <w:spacing w:val="-5"/>
        </w:rPr>
        <w:t> </w:t>
      </w:r>
      <w:r w:rsidR="43BE4203" w:rsidRPr="00A627C4">
        <w:rPr>
          <w:rFonts w:eastAsia="Times New Roman"/>
          <w:spacing w:val="-5"/>
        </w:rPr>
        <w:t>un fondement objectif reposant sur des renseignements concluants et dignes de foi</w:t>
      </w:r>
      <w:r w:rsidR="00D14AC9">
        <w:rPr>
          <w:rFonts w:eastAsia="Times New Roman"/>
          <w:spacing w:val="-5"/>
        </w:rPr>
        <w:t> </w:t>
      </w:r>
      <w:r w:rsidR="43BE4203" w:rsidRPr="00A627C4">
        <w:rPr>
          <w:rFonts w:eastAsia="Times New Roman"/>
          <w:spacing w:val="-5"/>
        </w:rPr>
        <w:t>», tel que l’a précisé la CSC dans l</w:t>
      </w:r>
      <w:r w:rsidR="00D14AC9">
        <w:rPr>
          <w:rFonts w:eastAsia="Times New Roman"/>
          <w:spacing w:val="-5"/>
        </w:rPr>
        <w:t>’</w:t>
      </w:r>
      <w:r w:rsidR="43BE4203" w:rsidRPr="00A627C4">
        <w:rPr>
          <w:rFonts w:eastAsia="Times New Roman"/>
          <w:spacing w:val="-5"/>
        </w:rPr>
        <w:t xml:space="preserve">affaire </w:t>
      </w:r>
      <w:r w:rsidR="43BE4203" w:rsidRPr="07ABB96B">
        <w:rPr>
          <w:rFonts w:eastAsia="Times New Roman"/>
          <w:i/>
          <w:iCs/>
          <w:spacing w:val="-5"/>
        </w:rPr>
        <w:t>Mugesera</w:t>
      </w:r>
      <w:r w:rsidR="00E908E5" w:rsidRPr="07ABB96B">
        <w:rPr>
          <w:rStyle w:val="FootnoteReference"/>
          <w:rFonts w:eastAsia="Times New Roman"/>
          <w:i/>
          <w:iCs/>
          <w:spacing w:val="-5"/>
        </w:rPr>
        <w:footnoteReference w:id="36"/>
      </w:r>
      <w:r w:rsidR="34766693" w:rsidRPr="07ABB96B">
        <w:rPr>
          <w:rFonts w:eastAsia="Times New Roman"/>
          <w:i/>
          <w:iCs/>
          <w:spacing w:val="-5"/>
        </w:rPr>
        <w:t>.</w:t>
      </w:r>
    </w:p>
    <w:p w14:paraId="3C2E4533" w14:textId="41AA6C53" w:rsidR="00FF53DA" w:rsidRPr="00A627C4" w:rsidRDefault="00FF53DA" w:rsidP="00B51673">
      <w:pPr>
        <w:pStyle w:val="ListParagraph"/>
        <w:numPr>
          <w:ilvl w:val="0"/>
          <w:numId w:val="9"/>
        </w:numPr>
        <w:spacing w:after="240"/>
        <w:jc w:val="both"/>
        <w:rPr>
          <w:rFonts w:eastAsia="Times New Roman"/>
          <w:b/>
          <w:bCs/>
          <w:spacing w:val="-5"/>
        </w:rPr>
      </w:pPr>
      <w:r w:rsidRPr="00A627C4">
        <w:rPr>
          <w:rFonts w:eastAsia="Times New Roman"/>
          <w:b/>
          <w:bCs/>
          <w:spacing w:val="-5"/>
        </w:rPr>
        <w:t>Le PNB, qui exerce des fonctions légitimes et démocratiques, ne tombe pas sous le coup de l’alinéa 34</w:t>
      </w:r>
      <w:r w:rsidR="00A16B57">
        <w:rPr>
          <w:rFonts w:eastAsia="Times New Roman"/>
          <w:b/>
          <w:bCs/>
          <w:spacing w:val="-5"/>
        </w:rPr>
        <w:t xml:space="preserve"> </w:t>
      </w:r>
      <w:r w:rsidRPr="00A627C4">
        <w:rPr>
          <w:rFonts w:eastAsia="Times New Roman"/>
          <w:b/>
          <w:bCs/>
          <w:spacing w:val="-5"/>
        </w:rPr>
        <w:t>(1) b)</w:t>
      </w:r>
      <w:r w:rsidR="00B92BA0" w:rsidRPr="00A627C4">
        <w:rPr>
          <w:rFonts w:eastAsia="Times New Roman"/>
          <w:b/>
          <w:bCs/>
          <w:spacing w:val="-5"/>
        </w:rPr>
        <w:t xml:space="preserve"> de la LIPR</w:t>
      </w:r>
    </w:p>
    <w:p w14:paraId="562194FC" w14:textId="420A9008" w:rsidR="00FF53DA" w:rsidRPr="00A627C4" w:rsidRDefault="00FF53DA" w:rsidP="00B51673">
      <w:pPr>
        <w:pStyle w:val="ListParagraph"/>
        <w:numPr>
          <w:ilvl w:val="1"/>
          <w:numId w:val="11"/>
        </w:numPr>
        <w:spacing w:after="240"/>
        <w:jc w:val="both"/>
        <w:rPr>
          <w:rFonts w:eastAsia="Times New Roman"/>
          <w:b/>
          <w:bCs/>
          <w:spacing w:val="-5"/>
        </w:rPr>
      </w:pPr>
      <w:r w:rsidRPr="00A627C4">
        <w:rPr>
          <w:rFonts w:eastAsia="Times New Roman"/>
          <w:b/>
          <w:bCs/>
          <w:spacing w:val="-5"/>
        </w:rPr>
        <w:t>Les critères d’application de l’alinéa 34</w:t>
      </w:r>
      <w:r w:rsidR="00A16B57">
        <w:rPr>
          <w:rFonts w:eastAsia="Times New Roman"/>
          <w:b/>
          <w:bCs/>
          <w:spacing w:val="-5"/>
        </w:rPr>
        <w:t xml:space="preserve"> </w:t>
      </w:r>
      <w:r w:rsidRPr="00A627C4">
        <w:rPr>
          <w:rFonts w:eastAsia="Times New Roman"/>
          <w:b/>
          <w:bCs/>
          <w:spacing w:val="-5"/>
        </w:rPr>
        <w:t>(1) b)</w:t>
      </w:r>
      <w:r w:rsidR="00B92BA0" w:rsidRPr="00A627C4">
        <w:rPr>
          <w:rFonts w:eastAsia="Times New Roman"/>
          <w:b/>
          <w:bCs/>
          <w:spacing w:val="-5"/>
        </w:rPr>
        <w:t xml:space="preserve"> de la LIPR</w:t>
      </w:r>
    </w:p>
    <w:p w14:paraId="384432E6" w14:textId="7FAC6BCC" w:rsidR="0015030B" w:rsidRPr="00A627C4" w:rsidRDefault="000201E7" w:rsidP="00B15ACF">
      <w:pPr>
        <w:pStyle w:val="ListParagraph"/>
        <w:numPr>
          <w:ilvl w:val="2"/>
          <w:numId w:val="11"/>
        </w:numPr>
        <w:spacing w:after="240"/>
        <w:jc w:val="both"/>
        <w:rPr>
          <w:rFonts w:eastAsia="Times New Roman"/>
          <w:b/>
          <w:bCs/>
          <w:spacing w:val="-5"/>
        </w:rPr>
      </w:pPr>
      <w:r w:rsidRPr="00A627C4">
        <w:rPr>
          <w:rFonts w:eastAsia="Times New Roman"/>
          <w:b/>
          <w:bCs/>
          <w:spacing w:val="-5"/>
        </w:rPr>
        <w:t>L</w:t>
      </w:r>
      <w:r w:rsidR="002C4FCB" w:rsidRPr="00A627C4">
        <w:rPr>
          <w:rFonts w:eastAsia="Times New Roman"/>
          <w:b/>
          <w:bCs/>
          <w:spacing w:val="-5"/>
        </w:rPr>
        <w:t>a notion de</w:t>
      </w:r>
      <w:r w:rsidRPr="00A627C4">
        <w:rPr>
          <w:rFonts w:eastAsia="Times New Roman"/>
          <w:b/>
          <w:bCs/>
          <w:spacing w:val="-5"/>
        </w:rPr>
        <w:t xml:space="preserve"> force</w:t>
      </w:r>
    </w:p>
    <w:p w14:paraId="5D09A76F" w14:textId="4D22EA4E" w:rsidR="0015030B" w:rsidRPr="00A627C4" w:rsidRDefault="7B2B9CE3"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La </w:t>
      </w:r>
      <w:r w:rsidR="75D9A506" w:rsidRPr="00A627C4">
        <w:rPr>
          <w:rFonts w:eastAsia="Times New Roman"/>
          <w:spacing w:val="-5"/>
        </w:rPr>
        <w:t xml:space="preserve">juge Jagger a conclu à bon droit </w:t>
      </w:r>
      <w:r w:rsidR="269E3231" w:rsidRPr="00A627C4">
        <w:rPr>
          <w:rFonts w:eastAsia="Times New Roman"/>
          <w:spacing w:val="-5"/>
        </w:rPr>
        <w:t xml:space="preserve">que les </w:t>
      </w:r>
      <w:r w:rsidR="269E3231" w:rsidRPr="07ABB96B">
        <w:rPr>
          <w:rFonts w:eastAsia="Times New Roman"/>
          <w:i/>
          <w:iCs/>
          <w:spacing w:val="-5"/>
        </w:rPr>
        <w:t xml:space="preserve">hartals </w:t>
      </w:r>
      <w:r w:rsidR="504DDC63" w:rsidRPr="00A627C4">
        <w:rPr>
          <w:rFonts w:eastAsia="Times New Roman"/>
          <w:spacing w:val="-5"/>
        </w:rPr>
        <w:t>et les grèves déclenchées par le PNB</w:t>
      </w:r>
      <w:r w:rsidR="30592322" w:rsidRPr="00A627C4">
        <w:rPr>
          <w:rFonts w:eastAsia="Times New Roman"/>
          <w:spacing w:val="-5"/>
        </w:rPr>
        <w:t xml:space="preserve"> ne satisfaisai</w:t>
      </w:r>
      <w:r w:rsidR="2F3B298B" w:rsidRPr="00A627C4">
        <w:rPr>
          <w:rFonts w:eastAsia="Times New Roman"/>
          <w:spacing w:val="-5"/>
        </w:rPr>
        <w:t>en</w:t>
      </w:r>
      <w:r w:rsidR="30592322" w:rsidRPr="00A627C4">
        <w:rPr>
          <w:rFonts w:eastAsia="Times New Roman"/>
          <w:spacing w:val="-5"/>
        </w:rPr>
        <w:t>t pas au critère de renversement «</w:t>
      </w:r>
      <w:r w:rsidR="00A16B57">
        <w:rPr>
          <w:rFonts w:eastAsia="Times New Roman"/>
          <w:spacing w:val="-5"/>
        </w:rPr>
        <w:t> </w:t>
      </w:r>
      <w:r w:rsidR="30592322" w:rsidRPr="00A627C4">
        <w:rPr>
          <w:rFonts w:eastAsia="Times New Roman"/>
          <w:spacing w:val="-5"/>
        </w:rPr>
        <w:t>par la force</w:t>
      </w:r>
      <w:r w:rsidR="00A16B57">
        <w:rPr>
          <w:rFonts w:eastAsia="Times New Roman"/>
          <w:spacing w:val="-5"/>
        </w:rPr>
        <w:t> </w:t>
      </w:r>
      <w:r w:rsidR="30592322" w:rsidRPr="00A627C4">
        <w:rPr>
          <w:rFonts w:eastAsia="Times New Roman"/>
          <w:spacing w:val="-5"/>
        </w:rPr>
        <w:t xml:space="preserve">». </w:t>
      </w:r>
      <w:r w:rsidR="33DB6789" w:rsidRPr="00A627C4">
        <w:rPr>
          <w:rFonts w:eastAsia="Times New Roman"/>
          <w:spacing w:val="-5"/>
        </w:rPr>
        <w:t>La définition la plus commune de «</w:t>
      </w:r>
      <w:r w:rsidR="00A16B57">
        <w:rPr>
          <w:rFonts w:eastAsia="Times New Roman"/>
          <w:spacing w:val="-5"/>
        </w:rPr>
        <w:t> </w:t>
      </w:r>
      <w:r w:rsidR="33DB6789" w:rsidRPr="00A627C4">
        <w:rPr>
          <w:rFonts w:eastAsia="Times New Roman"/>
          <w:spacing w:val="-5"/>
        </w:rPr>
        <w:t>renversement d’un gouvernement par la force</w:t>
      </w:r>
      <w:r w:rsidR="00A16B57">
        <w:rPr>
          <w:rFonts w:eastAsia="Times New Roman"/>
          <w:spacing w:val="-5"/>
        </w:rPr>
        <w:t> </w:t>
      </w:r>
      <w:r w:rsidR="33DB6789" w:rsidRPr="00A627C4">
        <w:rPr>
          <w:rFonts w:eastAsia="Times New Roman"/>
          <w:spacing w:val="-5"/>
        </w:rPr>
        <w:t>» est que «</w:t>
      </w:r>
      <w:r w:rsidR="00A16B57">
        <w:rPr>
          <w:rFonts w:eastAsia="Times New Roman"/>
          <w:spacing w:val="-5"/>
        </w:rPr>
        <w:t> </w:t>
      </w:r>
      <w:r w:rsidR="33DB6789" w:rsidRPr="00A627C4">
        <w:rPr>
          <w:rFonts w:eastAsia="Times New Roman"/>
          <w:spacing w:val="-5"/>
        </w:rPr>
        <w:t>le changement de gouvernement envisagé se fasse par l’usage de la force, de la violence ou de moyens criminels</w:t>
      </w:r>
      <w:r w:rsidR="00A16B57">
        <w:rPr>
          <w:rFonts w:eastAsia="Times New Roman"/>
          <w:spacing w:val="-5"/>
        </w:rPr>
        <w:t> </w:t>
      </w:r>
      <w:r w:rsidR="33DB6789" w:rsidRPr="00A627C4">
        <w:rPr>
          <w:rFonts w:eastAsia="Times New Roman"/>
          <w:spacing w:val="-5"/>
        </w:rPr>
        <w:t>»</w:t>
      </w:r>
      <w:r w:rsidR="00592401" w:rsidRPr="00A627C4">
        <w:rPr>
          <w:rStyle w:val="FootnoteReference"/>
          <w:rFonts w:eastAsia="Times New Roman"/>
          <w:spacing w:val="-5"/>
        </w:rPr>
        <w:footnoteReference w:id="37"/>
      </w:r>
      <w:r w:rsidR="33DB6789" w:rsidRPr="00A627C4">
        <w:rPr>
          <w:rFonts w:eastAsia="Times New Roman"/>
          <w:spacing w:val="-5"/>
        </w:rPr>
        <w:t>.</w:t>
      </w:r>
    </w:p>
    <w:p w14:paraId="692ECC73" w14:textId="2C2C5BCF" w:rsidR="00B61BE8" w:rsidRPr="00A627C4" w:rsidRDefault="64263F8D"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Le PNB et la LA s’échangent le pouvoir </w:t>
      </w:r>
      <w:r w:rsidR="66CA8975" w:rsidRPr="00A627C4">
        <w:rPr>
          <w:rFonts w:eastAsia="Times New Roman"/>
          <w:spacing w:val="-5"/>
        </w:rPr>
        <w:t xml:space="preserve">depuis les </w:t>
      </w:r>
      <w:r w:rsidR="28557F07" w:rsidRPr="00A627C4">
        <w:rPr>
          <w:rFonts w:eastAsia="Times New Roman"/>
          <w:spacing w:val="-5"/>
        </w:rPr>
        <w:t>30 dernières années</w:t>
      </w:r>
      <w:r w:rsidR="1BFDA09E" w:rsidRPr="00A627C4">
        <w:rPr>
          <w:rFonts w:eastAsia="Times New Roman"/>
          <w:spacing w:val="-5"/>
        </w:rPr>
        <w:t xml:space="preserve"> par leur participation mutuelle au processus d’élections démocratiques du Bangladesh. </w:t>
      </w:r>
      <w:r w:rsidR="5B135602" w:rsidRPr="00A627C4">
        <w:rPr>
          <w:rFonts w:eastAsia="Times New Roman"/>
          <w:spacing w:val="-5"/>
        </w:rPr>
        <w:t xml:space="preserve">Comme le rappelle </w:t>
      </w:r>
      <w:r w:rsidR="5AAE252E" w:rsidRPr="00A627C4">
        <w:rPr>
          <w:rFonts w:eastAsia="Times New Roman"/>
          <w:spacing w:val="-5"/>
        </w:rPr>
        <w:t xml:space="preserve">la juge Jagger, </w:t>
      </w:r>
      <w:r w:rsidR="5D9608CD" w:rsidRPr="00A627C4">
        <w:rPr>
          <w:rFonts w:eastAsia="Times New Roman"/>
          <w:spacing w:val="-5"/>
        </w:rPr>
        <w:t xml:space="preserve">les </w:t>
      </w:r>
      <w:r w:rsidR="5D9608CD" w:rsidRPr="59F483E0">
        <w:rPr>
          <w:rFonts w:eastAsia="Times New Roman"/>
          <w:i/>
          <w:iCs/>
          <w:spacing w:val="-5"/>
        </w:rPr>
        <w:t xml:space="preserve">hartals, </w:t>
      </w:r>
      <w:r w:rsidR="5D9608CD" w:rsidRPr="00A627C4">
        <w:rPr>
          <w:rFonts w:eastAsia="Times New Roman"/>
          <w:spacing w:val="-5"/>
        </w:rPr>
        <w:t xml:space="preserve">qui sont des grèves ou des manifestations de masse tenues à l’échelle du pays, </w:t>
      </w:r>
      <w:r w:rsidR="566180F6" w:rsidRPr="00A627C4">
        <w:rPr>
          <w:rFonts w:eastAsia="Times New Roman"/>
          <w:spacing w:val="-5"/>
        </w:rPr>
        <w:t xml:space="preserve">sont une pratique courante et légitime </w:t>
      </w:r>
      <w:r w:rsidR="540F700B" w:rsidRPr="00A627C4">
        <w:rPr>
          <w:rFonts w:eastAsia="Times New Roman"/>
          <w:spacing w:val="-5"/>
        </w:rPr>
        <w:t xml:space="preserve">d’expression politique. </w:t>
      </w:r>
      <w:r w:rsidR="25113C59" w:rsidRPr="00A627C4">
        <w:rPr>
          <w:rFonts w:eastAsia="Times New Roman"/>
          <w:spacing w:val="-5"/>
        </w:rPr>
        <w:t>Avec égards, l</w:t>
      </w:r>
      <w:r w:rsidR="1ABEFF21" w:rsidRPr="00A627C4">
        <w:rPr>
          <w:rFonts w:eastAsia="Times New Roman"/>
          <w:spacing w:val="-5"/>
        </w:rPr>
        <w:t xml:space="preserve">’agent Ali, qui base sa décision à tort sur </w:t>
      </w:r>
      <w:r w:rsidR="1C292BDA" w:rsidRPr="00A627C4">
        <w:rPr>
          <w:rFonts w:eastAsia="Times New Roman"/>
          <w:spacing w:val="-5"/>
        </w:rPr>
        <w:t xml:space="preserve">les </w:t>
      </w:r>
      <w:r w:rsidR="5050778D" w:rsidRPr="00A627C4">
        <w:rPr>
          <w:rFonts w:eastAsia="Times New Roman"/>
          <w:spacing w:val="-5"/>
        </w:rPr>
        <w:t xml:space="preserve">événements qui ont eu lieu entre 2002 et 2014, </w:t>
      </w:r>
      <w:r w:rsidR="1144ECE1" w:rsidRPr="00A627C4">
        <w:rPr>
          <w:rFonts w:eastAsia="Times New Roman"/>
          <w:spacing w:val="-5"/>
        </w:rPr>
        <w:t xml:space="preserve">passe outre le fait que les appels aux </w:t>
      </w:r>
      <w:r w:rsidR="1144ECE1" w:rsidRPr="59F483E0">
        <w:rPr>
          <w:rFonts w:eastAsia="Times New Roman"/>
          <w:i/>
          <w:iCs/>
          <w:spacing w:val="-5"/>
        </w:rPr>
        <w:t xml:space="preserve">hartals </w:t>
      </w:r>
      <w:r w:rsidR="1144ECE1" w:rsidRPr="00A627C4">
        <w:rPr>
          <w:rFonts w:eastAsia="Times New Roman"/>
          <w:spacing w:val="-5"/>
        </w:rPr>
        <w:t>font partie intégrante de la vie politique b</w:t>
      </w:r>
      <w:r w:rsidR="00A16B57">
        <w:rPr>
          <w:rFonts w:eastAsia="Times New Roman"/>
          <w:spacing w:val="-5"/>
        </w:rPr>
        <w:t>angladeshie</w:t>
      </w:r>
      <w:r w:rsidR="1144ECE1" w:rsidRPr="00A627C4">
        <w:rPr>
          <w:rFonts w:eastAsia="Times New Roman"/>
          <w:spacing w:val="-5"/>
        </w:rPr>
        <w:t xml:space="preserve">, </w:t>
      </w:r>
      <w:r w:rsidR="30D21D1B" w:rsidRPr="00A627C4">
        <w:rPr>
          <w:rFonts w:eastAsia="Times New Roman"/>
          <w:spacing w:val="-5"/>
        </w:rPr>
        <w:t xml:space="preserve">de la même façon que </w:t>
      </w:r>
      <w:r w:rsidR="520A32E0" w:rsidRPr="00A627C4">
        <w:rPr>
          <w:rFonts w:eastAsia="Times New Roman"/>
          <w:spacing w:val="-5"/>
        </w:rPr>
        <w:t>le sont les grèves et manifestations au Canada.</w:t>
      </w:r>
      <w:r w:rsidR="386D20CE" w:rsidRPr="00A627C4">
        <w:rPr>
          <w:rFonts w:eastAsia="Times New Roman"/>
          <w:spacing w:val="-5"/>
        </w:rPr>
        <w:t xml:space="preserve"> </w:t>
      </w:r>
      <w:r w:rsidR="771CD17B" w:rsidRPr="00A627C4">
        <w:rPr>
          <w:rFonts w:eastAsia="Times New Roman"/>
          <w:spacing w:val="-5"/>
        </w:rPr>
        <w:t xml:space="preserve">Les appels </w:t>
      </w:r>
      <w:r w:rsidR="7E7E2380" w:rsidRPr="00A627C4">
        <w:rPr>
          <w:rFonts w:eastAsia="Times New Roman"/>
          <w:spacing w:val="-5"/>
        </w:rPr>
        <w:t>aux</w:t>
      </w:r>
      <w:r w:rsidR="771CD17B" w:rsidRPr="00A627C4">
        <w:rPr>
          <w:rFonts w:eastAsia="Times New Roman"/>
          <w:spacing w:val="-5"/>
        </w:rPr>
        <w:t xml:space="preserve"> </w:t>
      </w:r>
      <w:r w:rsidR="771CD17B" w:rsidRPr="59F483E0">
        <w:rPr>
          <w:rFonts w:eastAsia="Times New Roman"/>
          <w:i/>
          <w:iCs/>
          <w:spacing w:val="-5"/>
        </w:rPr>
        <w:t xml:space="preserve">hartals </w:t>
      </w:r>
      <w:r w:rsidR="54BCD15E" w:rsidRPr="00A627C4">
        <w:rPr>
          <w:rFonts w:eastAsia="Times New Roman"/>
          <w:spacing w:val="-5"/>
        </w:rPr>
        <w:t xml:space="preserve">sont utilisés par le PNB, mais également </w:t>
      </w:r>
      <w:r w:rsidR="7C060752" w:rsidRPr="00A627C4">
        <w:rPr>
          <w:rFonts w:eastAsia="Times New Roman"/>
          <w:spacing w:val="-5"/>
        </w:rPr>
        <w:t>par des personnes non</w:t>
      </w:r>
      <w:r w:rsidR="00A16B57">
        <w:rPr>
          <w:rFonts w:eastAsia="Times New Roman"/>
          <w:spacing w:val="-5"/>
        </w:rPr>
        <w:t xml:space="preserve"> </w:t>
      </w:r>
      <w:r w:rsidR="7C060752" w:rsidRPr="00A627C4">
        <w:rPr>
          <w:rFonts w:eastAsia="Times New Roman"/>
          <w:spacing w:val="-5"/>
        </w:rPr>
        <w:t>affiliées.</w:t>
      </w:r>
      <w:r w:rsidR="520A32E0" w:rsidRPr="00A627C4">
        <w:rPr>
          <w:rFonts w:eastAsia="Times New Roman"/>
          <w:spacing w:val="-5"/>
        </w:rPr>
        <w:t xml:space="preserve"> </w:t>
      </w:r>
      <w:r w:rsidR="755A0B11" w:rsidRPr="00A627C4">
        <w:rPr>
          <w:rFonts w:eastAsia="Times New Roman"/>
          <w:spacing w:val="-5"/>
        </w:rPr>
        <w:t xml:space="preserve">C’est également ce que souligne le juge </w:t>
      </w:r>
      <w:r w:rsidR="0738BF7F" w:rsidRPr="00A627C4">
        <w:rPr>
          <w:rFonts w:eastAsia="Times New Roman"/>
          <w:spacing w:val="-5"/>
        </w:rPr>
        <w:t xml:space="preserve">Mosley, dans l’affaire </w:t>
      </w:r>
      <w:r w:rsidR="0738BF7F" w:rsidRPr="59F483E0">
        <w:rPr>
          <w:rFonts w:eastAsia="Times New Roman"/>
          <w:i/>
          <w:iCs/>
          <w:spacing w:val="-5"/>
        </w:rPr>
        <w:t>A.K. </w:t>
      </w:r>
      <w:r w:rsidR="0738BF7F" w:rsidRPr="00A627C4">
        <w:rPr>
          <w:rFonts w:eastAsia="Times New Roman"/>
          <w:spacing w:val="-5"/>
        </w:rPr>
        <w:t xml:space="preserve">: </w:t>
      </w:r>
      <w:r w:rsidR="798CA5E9" w:rsidRPr="00A627C4">
        <w:rPr>
          <w:rFonts w:eastAsia="Times New Roman"/>
          <w:spacing w:val="-5"/>
        </w:rPr>
        <w:t>«</w:t>
      </w:r>
      <w:r w:rsidR="00A16B57">
        <w:rPr>
          <w:rFonts w:eastAsia="Times New Roman"/>
          <w:spacing w:val="-5"/>
        </w:rPr>
        <w:t> </w:t>
      </w:r>
      <w:r w:rsidR="798CA5E9" w:rsidRPr="00A627C4">
        <w:rPr>
          <w:rFonts w:eastAsia="Times New Roman"/>
          <w:spacing w:val="-5"/>
        </w:rPr>
        <w:t>[</w:t>
      </w:r>
      <w:r w:rsidR="5EFA8DF2" w:rsidRPr="00A627C4">
        <w:rPr>
          <w:rFonts w:eastAsia="Times New Roman"/>
          <w:spacing w:val="-5"/>
        </w:rPr>
        <w:t>les hartals] constituent une forme de protestation en masse et de désobéissance civile comme le préconisaient à l’origine les dirigeants du mouvement indépendantiste indien comme Mahatma</w:t>
      </w:r>
      <w:r w:rsidR="7EF65F82" w:rsidRPr="00A627C4">
        <w:rPr>
          <w:rFonts w:eastAsia="Times New Roman"/>
          <w:spacing w:val="-5"/>
        </w:rPr>
        <w:t xml:space="preserve"> Ghandi. Au Bangladesh</w:t>
      </w:r>
      <w:r w:rsidR="04F6456F" w:rsidRPr="00A627C4">
        <w:rPr>
          <w:rFonts w:eastAsia="Times New Roman"/>
          <w:spacing w:val="-5"/>
        </w:rPr>
        <w:t xml:space="preserve"> […] autant la </w:t>
      </w:r>
      <w:r w:rsidR="457D8877" w:rsidRPr="00A627C4">
        <w:rPr>
          <w:rFonts w:eastAsia="Times New Roman"/>
          <w:spacing w:val="-5"/>
        </w:rPr>
        <w:t>Ligue Awami que le PNB [y</w:t>
      </w:r>
      <w:r w:rsidR="22086FB7" w:rsidRPr="00A627C4">
        <w:rPr>
          <w:rFonts w:eastAsia="Times New Roman"/>
          <w:spacing w:val="-5"/>
        </w:rPr>
        <w:t>] avaient recours</w:t>
      </w:r>
      <w:r w:rsidR="00A16B57">
        <w:rPr>
          <w:rFonts w:eastAsia="Times New Roman"/>
          <w:spacing w:val="-5"/>
        </w:rPr>
        <w:t> </w:t>
      </w:r>
      <w:r w:rsidR="07D5A8CA" w:rsidRPr="00A627C4">
        <w:rPr>
          <w:rFonts w:eastAsia="Times New Roman"/>
          <w:spacing w:val="-5"/>
        </w:rPr>
        <w:t>»</w:t>
      </w:r>
      <w:r w:rsidR="006F7CE3" w:rsidRPr="00A627C4">
        <w:rPr>
          <w:rStyle w:val="FootnoteReference"/>
          <w:rFonts w:eastAsia="Times New Roman"/>
          <w:spacing w:val="-5"/>
        </w:rPr>
        <w:footnoteReference w:id="38"/>
      </w:r>
      <w:r w:rsidR="07D5A8CA" w:rsidRPr="00A627C4">
        <w:rPr>
          <w:rFonts w:eastAsia="Times New Roman"/>
          <w:spacing w:val="-5"/>
        </w:rPr>
        <w:t xml:space="preserve">. </w:t>
      </w:r>
      <w:r w:rsidR="01A03992" w:rsidRPr="00A627C4">
        <w:rPr>
          <w:rFonts w:eastAsia="Times New Roman"/>
          <w:spacing w:val="-5"/>
        </w:rPr>
        <w:t>Qui plus est, la juge Jagger a eu raison de soulever que l’agent Ali</w:t>
      </w:r>
      <w:r w:rsidR="653F60C1" w:rsidRPr="00A627C4">
        <w:rPr>
          <w:rFonts w:eastAsia="Times New Roman"/>
          <w:spacing w:val="-5"/>
        </w:rPr>
        <w:t xml:space="preserve"> ne </w:t>
      </w:r>
      <w:r w:rsidR="769F0E72" w:rsidRPr="00A627C4">
        <w:rPr>
          <w:rFonts w:eastAsia="Times New Roman"/>
          <w:spacing w:val="-5"/>
        </w:rPr>
        <w:t xml:space="preserve">prend pas en compte que les violences qui ont découlé des </w:t>
      </w:r>
      <w:r w:rsidR="769F0E72" w:rsidRPr="59F483E0">
        <w:rPr>
          <w:rFonts w:eastAsia="Times New Roman"/>
          <w:i/>
          <w:iCs/>
          <w:spacing w:val="-5"/>
        </w:rPr>
        <w:t xml:space="preserve">hartals </w:t>
      </w:r>
      <w:r w:rsidR="769F0E72" w:rsidRPr="00A627C4">
        <w:rPr>
          <w:rFonts w:eastAsia="Times New Roman"/>
          <w:spacing w:val="-5"/>
        </w:rPr>
        <w:t>entre 2002 et 2014</w:t>
      </w:r>
      <w:r w:rsidR="7CFC111D" w:rsidRPr="00A627C4">
        <w:rPr>
          <w:rFonts w:eastAsia="Times New Roman"/>
          <w:spacing w:val="-5"/>
        </w:rPr>
        <w:t xml:space="preserve"> étaient généralisée</w:t>
      </w:r>
      <w:r w:rsidR="0840AFFA" w:rsidRPr="00A627C4">
        <w:rPr>
          <w:rFonts w:eastAsia="Times New Roman"/>
          <w:spacing w:val="-5"/>
        </w:rPr>
        <w:t>s</w:t>
      </w:r>
      <w:r w:rsidR="1A0B789C" w:rsidRPr="00A627C4">
        <w:rPr>
          <w:rFonts w:eastAsia="Times New Roman"/>
          <w:spacing w:val="-5"/>
        </w:rPr>
        <w:t xml:space="preserve"> et que le PNB ne pouvait l</w:t>
      </w:r>
      <w:r w:rsidR="667A69C5" w:rsidRPr="00A627C4">
        <w:rPr>
          <w:rFonts w:eastAsia="Times New Roman"/>
          <w:spacing w:val="-5"/>
        </w:rPr>
        <w:t xml:space="preserve">es maîtriser. </w:t>
      </w:r>
      <w:r w:rsidR="415EFA0D" w:rsidRPr="00A627C4">
        <w:rPr>
          <w:rFonts w:eastAsia="Times New Roman"/>
          <w:spacing w:val="-5"/>
        </w:rPr>
        <w:t>Comme le rappelle la juge, «</w:t>
      </w:r>
      <w:r w:rsidR="00A16B57">
        <w:rPr>
          <w:rFonts w:eastAsia="Times New Roman"/>
          <w:spacing w:val="-5"/>
        </w:rPr>
        <w:t> </w:t>
      </w:r>
      <w:r w:rsidR="415EFA0D" w:rsidRPr="00A627C4">
        <w:rPr>
          <w:rFonts w:eastAsia="Times New Roman"/>
          <w:spacing w:val="-5"/>
        </w:rPr>
        <w:t xml:space="preserve">le PNB n’a jamais explicitement lancé un appel à la violence, mais seulement au déclenchement de manifestations générales ou de </w:t>
      </w:r>
      <w:r w:rsidR="415EFA0D" w:rsidRPr="59F483E0">
        <w:rPr>
          <w:rFonts w:eastAsia="Times New Roman"/>
          <w:i/>
          <w:iCs/>
          <w:spacing w:val="-5"/>
        </w:rPr>
        <w:t>hartals</w:t>
      </w:r>
      <w:r w:rsidR="00A16B57">
        <w:rPr>
          <w:rFonts w:eastAsia="Times New Roman"/>
          <w:spacing w:val="-5"/>
        </w:rPr>
        <w:t> </w:t>
      </w:r>
      <w:r w:rsidR="11B190C3" w:rsidRPr="00A627C4">
        <w:rPr>
          <w:rFonts w:eastAsia="Times New Roman"/>
          <w:spacing w:val="-5"/>
        </w:rPr>
        <w:t>»</w:t>
      </w:r>
      <w:r w:rsidR="00803BCD" w:rsidRPr="00A627C4">
        <w:rPr>
          <w:rStyle w:val="FootnoteReference"/>
          <w:rFonts w:eastAsia="Times New Roman"/>
          <w:spacing w:val="-5"/>
        </w:rPr>
        <w:footnoteReference w:id="39"/>
      </w:r>
      <w:r w:rsidR="48086BDD" w:rsidRPr="00A627C4">
        <w:rPr>
          <w:rFonts w:eastAsia="Times New Roman"/>
          <w:spacing w:val="-5"/>
        </w:rPr>
        <w:t>.</w:t>
      </w:r>
      <w:r w:rsidR="2A67DD28" w:rsidRPr="00A627C4">
        <w:rPr>
          <w:rFonts w:eastAsia="Times New Roman"/>
          <w:spacing w:val="-5"/>
        </w:rPr>
        <w:t xml:space="preserve"> C’est d’ailleurs ce que confirme la jurisprudence récente</w:t>
      </w:r>
      <w:r w:rsidR="42BE1AB4" w:rsidRPr="00A627C4">
        <w:rPr>
          <w:rFonts w:eastAsia="Times New Roman"/>
          <w:spacing w:val="-5"/>
        </w:rPr>
        <w:t> : il ne surprend pas que «</w:t>
      </w:r>
      <w:r w:rsidR="00A16B57">
        <w:rPr>
          <w:rFonts w:eastAsia="Times New Roman"/>
          <w:spacing w:val="-5"/>
        </w:rPr>
        <w:t> </w:t>
      </w:r>
      <w:r w:rsidR="42BE1AB4" w:rsidRPr="00A627C4">
        <w:rPr>
          <w:rFonts w:eastAsia="Times New Roman"/>
          <w:spacing w:val="-5"/>
        </w:rPr>
        <w:t xml:space="preserve">les partis politiques au Bangladesh, y compris le PNB, ont recours aux </w:t>
      </w:r>
      <w:r w:rsidR="42BE1AB4" w:rsidRPr="59F483E0">
        <w:rPr>
          <w:rFonts w:eastAsia="Times New Roman"/>
          <w:i/>
          <w:iCs/>
          <w:spacing w:val="-5"/>
        </w:rPr>
        <w:t xml:space="preserve">hartals </w:t>
      </w:r>
      <w:r w:rsidR="42BE1AB4" w:rsidRPr="00A627C4">
        <w:rPr>
          <w:rFonts w:eastAsia="Times New Roman"/>
          <w:spacing w:val="-5"/>
        </w:rPr>
        <w:t>et que ceux-ci mènent, dans bien des cas, à de la violence. Toutefois […] le simple fait que des enfants ou des passants innocents soient victimes de violence indiscriminée n’est pas suffisant</w:t>
      </w:r>
      <w:r w:rsidR="00A16B57">
        <w:rPr>
          <w:rFonts w:eastAsia="Times New Roman"/>
          <w:spacing w:val="-5"/>
        </w:rPr>
        <w:t> </w:t>
      </w:r>
      <w:r w:rsidR="42BE1AB4" w:rsidRPr="00A627C4">
        <w:rPr>
          <w:rFonts w:eastAsia="Times New Roman"/>
          <w:spacing w:val="-5"/>
        </w:rPr>
        <w:t>»</w:t>
      </w:r>
      <w:r w:rsidR="00D21F3D" w:rsidRPr="00A627C4">
        <w:rPr>
          <w:rStyle w:val="FootnoteReference"/>
          <w:rFonts w:eastAsia="Times New Roman"/>
          <w:spacing w:val="-5"/>
        </w:rPr>
        <w:footnoteReference w:id="40"/>
      </w:r>
      <w:r w:rsidR="42BE1AB4" w:rsidRPr="00A627C4">
        <w:rPr>
          <w:rFonts w:eastAsia="Times New Roman"/>
          <w:spacing w:val="-5"/>
        </w:rPr>
        <w:t>.</w:t>
      </w:r>
    </w:p>
    <w:p w14:paraId="13EBA697" w14:textId="7793F5AA" w:rsidR="00FF53DA" w:rsidRPr="00A627C4" w:rsidRDefault="000C5913" w:rsidP="006025E0">
      <w:pPr>
        <w:pStyle w:val="ListParagraph"/>
        <w:numPr>
          <w:ilvl w:val="2"/>
          <w:numId w:val="11"/>
        </w:numPr>
        <w:spacing w:after="240"/>
        <w:jc w:val="both"/>
        <w:rPr>
          <w:rFonts w:eastAsia="Times New Roman"/>
          <w:b/>
          <w:bCs/>
          <w:spacing w:val="-5"/>
        </w:rPr>
      </w:pPr>
      <w:r w:rsidRPr="00A627C4">
        <w:rPr>
          <w:rFonts w:eastAsia="Times New Roman"/>
          <w:b/>
          <w:bCs/>
          <w:spacing w:val="-5"/>
        </w:rPr>
        <w:t>La notion d</w:t>
      </w:r>
      <w:r w:rsidR="00FF53DA" w:rsidRPr="00A627C4">
        <w:rPr>
          <w:rFonts w:eastAsia="Times New Roman"/>
          <w:b/>
          <w:bCs/>
          <w:spacing w:val="-5"/>
        </w:rPr>
        <w:t>’utilisation intentionnelle de la force</w:t>
      </w:r>
    </w:p>
    <w:p w14:paraId="0696BA8E" w14:textId="2A44619E" w:rsidR="00F51429" w:rsidRPr="00A627C4" w:rsidRDefault="56A96EB4"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La juge Jagger a conclu avec raison que le terme «</w:t>
      </w:r>
      <w:r w:rsidR="00A16B57">
        <w:rPr>
          <w:rFonts w:eastAsia="Times New Roman"/>
          <w:spacing w:val="-5"/>
        </w:rPr>
        <w:t> </w:t>
      </w:r>
      <w:r w:rsidRPr="00A627C4">
        <w:rPr>
          <w:rFonts w:eastAsia="Times New Roman"/>
          <w:spacing w:val="-5"/>
        </w:rPr>
        <w:t>renversement</w:t>
      </w:r>
      <w:r w:rsidR="00A16B57">
        <w:rPr>
          <w:rFonts w:eastAsia="Times New Roman"/>
          <w:spacing w:val="-5"/>
        </w:rPr>
        <w:t> </w:t>
      </w:r>
      <w:r w:rsidRPr="00A627C4">
        <w:rPr>
          <w:rFonts w:eastAsia="Times New Roman"/>
          <w:spacing w:val="-5"/>
        </w:rPr>
        <w:t xml:space="preserve">» devait être interprété comme comportant l’intention de renverser le gouvernement par la force. </w:t>
      </w:r>
      <w:r w:rsidR="0A500BD0" w:rsidRPr="00A627C4">
        <w:rPr>
          <w:rFonts w:eastAsia="Times New Roman"/>
          <w:spacing w:val="-5"/>
        </w:rPr>
        <w:t>L</w:t>
      </w:r>
      <w:r w:rsidRPr="00A627C4">
        <w:rPr>
          <w:rFonts w:eastAsia="Times New Roman"/>
          <w:spacing w:val="-5"/>
        </w:rPr>
        <w:t xml:space="preserve">e juge Phelan, dans l’affaire </w:t>
      </w:r>
      <w:r w:rsidRPr="07ABB96B">
        <w:rPr>
          <w:rFonts w:eastAsia="Times New Roman"/>
          <w:i/>
          <w:iCs/>
          <w:spacing w:val="-5"/>
        </w:rPr>
        <w:t xml:space="preserve">Oremade, </w:t>
      </w:r>
      <w:r w:rsidRPr="00A627C4">
        <w:rPr>
          <w:rFonts w:eastAsia="Times New Roman"/>
          <w:spacing w:val="-5"/>
        </w:rPr>
        <w:t>rappelle que le paragraphe</w:t>
      </w:r>
      <w:r w:rsidR="00A16B57">
        <w:rPr>
          <w:rFonts w:eastAsia="Times New Roman"/>
          <w:spacing w:val="-5"/>
        </w:rPr>
        <w:t> </w:t>
      </w:r>
      <w:r w:rsidRPr="00A627C4">
        <w:rPr>
          <w:rFonts w:eastAsia="Times New Roman"/>
          <w:spacing w:val="-5"/>
        </w:rPr>
        <w:t>34</w:t>
      </w:r>
      <w:r w:rsidR="00A16B57">
        <w:rPr>
          <w:rFonts w:eastAsia="Times New Roman"/>
          <w:spacing w:val="-5"/>
        </w:rPr>
        <w:t xml:space="preserve"> </w:t>
      </w:r>
      <w:r w:rsidRPr="00A627C4">
        <w:rPr>
          <w:rFonts w:eastAsia="Times New Roman"/>
          <w:spacing w:val="-5"/>
        </w:rPr>
        <w:t>(1) «</w:t>
      </w:r>
      <w:r w:rsidR="00A16B57">
        <w:rPr>
          <w:rFonts w:eastAsia="Times New Roman"/>
          <w:spacing w:val="-5"/>
        </w:rPr>
        <w:t> </w:t>
      </w:r>
      <w:r w:rsidRPr="00A627C4">
        <w:rPr>
          <w:rFonts w:eastAsia="Times New Roman"/>
          <w:spacing w:val="-5"/>
        </w:rPr>
        <w:t xml:space="preserve">vise à empêcher les personnes qui ont commis </w:t>
      </w:r>
      <w:r w:rsidRPr="00A627C4">
        <w:rPr>
          <w:rFonts w:eastAsia="Times New Roman"/>
          <w:spacing w:val="-5"/>
          <w:u w:val="single"/>
        </w:rPr>
        <w:t xml:space="preserve">de plein gré </w:t>
      </w:r>
      <w:r w:rsidRPr="00A627C4">
        <w:rPr>
          <w:rFonts w:eastAsia="Times New Roman"/>
          <w:spacing w:val="-5"/>
        </w:rPr>
        <w:t>certains actes d’être admises au Canada</w:t>
      </w:r>
      <w:r w:rsidR="00A16B57">
        <w:rPr>
          <w:rFonts w:eastAsia="Times New Roman"/>
          <w:spacing w:val="-5"/>
        </w:rPr>
        <w:t> </w:t>
      </w:r>
      <w:r w:rsidRPr="00A627C4">
        <w:rPr>
          <w:rFonts w:eastAsia="Times New Roman"/>
          <w:spacing w:val="-5"/>
        </w:rPr>
        <w:t>», ayant adopté les comportements reprochés «</w:t>
      </w:r>
      <w:r w:rsidR="00A16B57">
        <w:rPr>
          <w:rFonts w:eastAsia="Times New Roman"/>
          <w:spacing w:val="-5"/>
        </w:rPr>
        <w:t> </w:t>
      </w:r>
      <w:r w:rsidRPr="00A627C4">
        <w:rPr>
          <w:rFonts w:eastAsia="Times New Roman"/>
          <w:spacing w:val="-5"/>
        </w:rPr>
        <w:t>en connaissance de cause et avec l’intention de le faire</w:t>
      </w:r>
      <w:r w:rsidR="00A16B57">
        <w:rPr>
          <w:rFonts w:eastAsia="Times New Roman"/>
          <w:spacing w:val="-5"/>
        </w:rPr>
        <w:t> </w:t>
      </w:r>
      <w:r w:rsidRPr="00A627C4">
        <w:rPr>
          <w:rFonts w:eastAsia="Times New Roman"/>
          <w:spacing w:val="-5"/>
        </w:rPr>
        <w:t>»</w:t>
      </w:r>
      <w:r w:rsidR="00FF53DA" w:rsidRPr="00A627C4">
        <w:rPr>
          <w:rStyle w:val="FootnoteReference"/>
          <w:rFonts w:eastAsia="Times New Roman"/>
          <w:spacing w:val="-5"/>
        </w:rPr>
        <w:footnoteReference w:id="41"/>
      </w:r>
      <w:r w:rsidRPr="00A627C4">
        <w:rPr>
          <w:rFonts w:eastAsia="Times New Roman"/>
          <w:spacing w:val="-5"/>
        </w:rPr>
        <w:t xml:space="preserve">. </w:t>
      </w:r>
    </w:p>
    <w:p w14:paraId="0DC9A330" w14:textId="660E8734" w:rsidR="00B3665F" w:rsidRPr="00A627C4" w:rsidRDefault="29F92E0E"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C’est l’exemple de l’affaire </w:t>
      </w:r>
      <w:r w:rsidRPr="35709C8A">
        <w:rPr>
          <w:rFonts w:eastAsia="Times New Roman"/>
          <w:i/>
          <w:iCs/>
          <w:spacing w:val="-5"/>
        </w:rPr>
        <w:t xml:space="preserve">Zahw, </w:t>
      </w:r>
      <w:r w:rsidR="6EC61A69" w:rsidRPr="00A627C4">
        <w:rPr>
          <w:rFonts w:eastAsia="Times New Roman"/>
          <w:spacing w:val="-5"/>
        </w:rPr>
        <w:t>où «</w:t>
      </w:r>
      <w:r w:rsidR="00A16B57">
        <w:rPr>
          <w:rFonts w:eastAsia="Times New Roman"/>
          <w:spacing w:val="-5"/>
        </w:rPr>
        <w:t> </w:t>
      </w:r>
      <w:r w:rsidR="6EC61A69" w:rsidRPr="00A627C4">
        <w:rPr>
          <w:rFonts w:eastAsia="Times New Roman"/>
          <w:spacing w:val="-5"/>
        </w:rPr>
        <w:t>l’armée égyptienne a planifié ses actions</w:t>
      </w:r>
      <w:r w:rsidR="00A16B57">
        <w:rPr>
          <w:rFonts w:eastAsia="Times New Roman"/>
          <w:spacing w:val="-5"/>
        </w:rPr>
        <w:t> </w:t>
      </w:r>
      <w:r w:rsidR="6EC61A69" w:rsidRPr="00A627C4">
        <w:rPr>
          <w:rFonts w:eastAsia="Times New Roman"/>
          <w:spacing w:val="-5"/>
        </w:rPr>
        <w:t>» en vue de renverser le gouvernement «</w:t>
      </w:r>
      <w:r w:rsidR="00A16B57">
        <w:rPr>
          <w:rFonts w:eastAsia="Times New Roman"/>
          <w:spacing w:val="-5"/>
        </w:rPr>
        <w:t> </w:t>
      </w:r>
      <w:r w:rsidR="6EC61A69" w:rsidRPr="00A627C4">
        <w:rPr>
          <w:rFonts w:eastAsia="Times New Roman"/>
          <w:spacing w:val="-5"/>
        </w:rPr>
        <w:t>de façon très détaillée</w:t>
      </w:r>
      <w:r w:rsidR="00A16B57">
        <w:rPr>
          <w:rFonts w:eastAsia="Times New Roman"/>
          <w:spacing w:val="-5"/>
        </w:rPr>
        <w:t> </w:t>
      </w:r>
      <w:r w:rsidR="6EC61A69" w:rsidRPr="00A627C4">
        <w:rPr>
          <w:rFonts w:eastAsia="Times New Roman"/>
          <w:spacing w:val="-5"/>
        </w:rPr>
        <w:t>»</w:t>
      </w:r>
      <w:r w:rsidR="22C6E0C5" w:rsidRPr="00A627C4">
        <w:rPr>
          <w:rFonts w:eastAsia="Times New Roman"/>
          <w:spacing w:val="-5"/>
        </w:rPr>
        <w:t>, par un ultimatum au gouvernement, des déplacements militaires stratég</w:t>
      </w:r>
      <w:r w:rsidR="31E5F1D1" w:rsidRPr="00A627C4">
        <w:rPr>
          <w:rFonts w:eastAsia="Times New Roman"/>
          <w:spacing w:val="-5"/>
        </w:rPr>
        <w:t>iques et l’exécution d’actions coordonnées</w:t>
      </w:r>
      <w:r w:rsidR="00B648AB" w:rsidRPr="00A627C4">
        <w:rPr>
          <w:rStyle w:val="FootnoteReference"/>
          <w:rFonts w:eastAsia="Times New Roman"/>
          <w:spacing w:val="-5"/>
        </w:rPr>
        <w:footnoteReference w:id="42"/>
      </w:r>
      <w:r w:rsidR="643D0F89" w:rsidRPr="00A627C4">
        <w:rPr>
          <w:rFonts w:eastAsia="Times New Roman"/>
          <w:spacing w:val="-5"/>
        </w:rPr>
        <w:t xml:space="preserve">. </w:t>
      </w:r>
      <w:r w:rsidR="43A17330" w:rsidRPr="00A627C4">
        <w:rPr>
          <w:rFonts w:eastAsia="Times New Roman"/>
          <w:spacing w:val="-5"/>
        </w:rPr>
        <w:t xml:space="preserve">C’est également l’exemple de l’affaire </w:t>
      </w:r>
      <w:r w:rsidR="43A17330" w:rsidRPr="35709C8A">
        <w:rPr>
          <w:rFonts w:eastAsia="Times New Roman"/>
          <w:i/>
          <w:iCs/>
          <w:spacing w:val="-5"/>
        </w:rPr>
        <w:t xml:space="preserve">Niyungeko, </w:t>
      </w:r>
      <w:r w:rsidR="7A2AB1C6" w:rsidRPr="00A627C4">
        <w:rPr>
          <w:rFonts w:eastAsia="Times New Roman"/>
          <w:spacing w:val="-5"/>
        </w:rPr>
        <w:t>où il était question</w:t>
      </w:r>
      <w:r w:rsidR="5FE22044" w:rsidRPr="00A627C4">
        <w:rPr>
          <w:rFonts w:eastAsia="Times New Roman"/>
          <w:spacing w:val="-5"/>
        </w:rPr>
        <w:t xml:space="preserve"> d’un putsch commis par l’armée burundaise ayant entre autres mené à l’assassinat du président</w:t>
      </w:r>
      <w:r w:rsidR="00AB18B4" w:rsidRPr="00A627C4">
        <w:rPr>
          <w:rStyle w:val="FootnoteReference"/>
          <w:rFonts w:eastAsia="Times New Roman"/>
          <w:spacing w:val="-5"/>
        </w:rPr>
        <w:footnoteReference w:id="43"/>
      </w:r>
      <w:r w:rsidR="1152C49D" w:rsidRPr="00A627C4">
        <w:rPr>
          <w:rFonts w:eastAsia="Times New Roman"/>
          <w:spacing w:val="-5"/>
        </w:rPr>
        <w:t>.</w:t>
      </w:r>
    </w:p>
    <w:p w14:paraId="0F1E5B04" w14:textId="1C61B4A8" w:rsidR="00FF53DA" w:rsidRPr="00A627C4" w:rsidRDefault="33335429"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Comme nous l’enseigne </w:t>
      </w:r>
      <w:r w:rsidR="4877AFFE" w:rsidRPr="00A627C4">
        <w:rPr>
          <w:rFonts w:eastAsia="Times New Roman"/>
          <w:spacing w:val="-5"/>
        </w:rPr>
        <w:t xml:space="preserve">la décision </w:t>
      </w:r>
      <w:r w:rsidR="4877AFFE" w:rsidRPr="35709C8A">
        <w:rPr>
          <w:rFonts w:eastAsia="Times New Roman"/>
          <w:i/>
          <w:iCs/>
          <w:spacing w:val="-5"/>
        </w:rPr>
        <w:t>Rana,</w:t>
      </w:r>
      <w:r w:rsidR="65A0C41F" w:rsidRPr="35709C8A">
        <w:rPr>
          <w:rFonts w:eastAsia="Times New Roman"/>
          <w:i/>
          <w:iCs/>
          <w:spacing w:val="-5"/>
        </w:rPr>
        <w:t xml:space="preserve"> </w:t>
      </w:r>
      <w:r w:rsidR="65A0C41F" w:rsidRPr="00A627C4">
        <w:rPr>
          <w:rFonts w:eastAsia="Times New Roman"/>
          <w:spacing w:val="-5"/>
        </w:rPr>
        <w:t>«</w:t>
      </w:r>
      <w:r w:rsidR="00A16B57">
        <w:rPr>
          <w:rFonts w:eastAsia="Times New Roman"/>
          <w:spacing w:val="-5"/>
        </w:rPr>
        <w:t> </w:t>
      </w:r>
      <w:r w:rsidR="65A0C41F" w:rsidRPr="00A627C4">
        <w:rPr>
          <w:rFonts w:eastAsia="Times New Roman"/>
          <w:spacing w:val="-5"/>
        </w:rPr>
        <w:t xml:space="preserve">même si les </w:t>
      </w:r>
      <w:r w:rsidR="5BAA655D" w:rsidRPr="35709C8A">
        <w:rPr>
          <w:rFonts w:eastAsia="Times New Roman"/>
          <w:i/>
          <w:iCs/>
          <w:spacing w:val="-5"/>
        </w:rPr>
        <w:t>hartals</w:t>
      </w:r>
      <w:r w:rsidR="65A0C41F" w:rsidRPr="35709C8A">
        <w:rPr>
          <w:rFonts w:eastAsia="Times New Roman"/>
          <w:i/>
          <w:iCs/>
          <w:spacing w:val="-5"/>
        </w:rPr>
        <w:t xml:space="preserve"> </w:t>
      </w:r>
      <w:r w:rsidR="65A0C41F" w:rsidRPr="00A627C4">
        <w:rPr>
          <w:rFonts w:eastAsia="Times New Roman"/>
          <w:spacing w:val="-5"/>
        </w:rPr>
        <w:t xml:space="preserve">et les </w:t>
      </w:r>
      <w:r w:rsidR="5BAA655D" w:rsidRPr="00A627C4">
        <w:rPr>
          <w:rFonts w:eastAsia="Times New Roman"/>
          <w:spacing w:val="-5"/>
        </w:rPr>
        <w:t>barrages</w:t>
      </w:r>
      <w:r w:rsidR="65A0C41F" w:rsidRPr="00A627C4">
        <w:rPr>
          <w:rFonts w:eastAsia="Times New Roman"/>
          <w:spacing w:val="-5"/>
        </w:rPr>
        <w:t xml:space="preserve"> auxquels a appelé le PNB </w:t>
      </w:r>
      <w:r w:rsidR="5828AA9C" w:rsidRPr="00A627C4">
        <w:rPr>
          <w:rFonts w:eastAsia="Times New Roman"/>
          <w:spacing w:val="-5"/>
        </w:rPr>
        <w:t>ont mené</w:t>
      </w:r>
      <w:r w:rsidR="00A16B57">
        <w:rPr>
          <w:rFonts w:eastAsia="Times New Roman"/>
          <w:spacing w:val="-5"/>
        </w:rPr>
        <w:t> </w:t>
      </w:r>
      <w:r w:rsidR="5828AA9C" w:rsidRPr="00A627C4">
        <w:rPr>
          <w:rFonts w:eastAsia="Times New Roman"/>
          <w:spacing w:val="-5"/>
        </w:rPr>
        <w:t>» à de la violence, «</w:t>
      </w:r>
      <w:r w:rsidR="00A16B57">
        <w:rPr>
          <w:rFonts w:eastAsia="Times New Roman"/>
          <w:spacing w:val="-5"/>
        </w:rPr>
        <w:t> </w:t>
      </w:r>
      <w:r w:rsidR="5828AA9C" w:rsidRPr="00A627C4">
        <w:rPr>
          <w:rFonts w:eastAsia="Times New Roman"/>
          <w:spacing w:val="-5"/>
        </w:rPr>
        <w:t>cet état de fait</w:t>
      </w:r>
      <w:r w:rsidR="00A16B57">
        <w:rPr>
          <w:rFonts w:eastAsia="Times New Roman"/>
          <w:spacing w:val="-5"/>
        </w:rPr>
        <w:t> </w:t>
      </w:r>
      <w:r w:rsidR="5828AA9C" w:rsidRPr="00A627C4">
        <w:rPr>
          <w:rFonts w:eastAsia="Times New Roman"/>
          <w:spacing w:val="-5"/>
        </w:rPr>
        <w:t xml:space="preserve">» ne suffit pas </w:t>
      </w:r>
      <w:r w:rsidR="5BAA655D" w:rsidRPr="00A627C4">
        <w:rPr>
          <w:rFonts w:eastAsia="Times New Roman"/>
          <w:spacing w:val="-5"/>
        </w:rPr>
        <w:t>à</w:t>
      </w:r>
      <w:r w:rsidR="5828AA9C" w:rsidRPr="00A627C4">
        <w:rPr>
          <w:rFonts w:eastAsia="Times New Roman"/>
          <w:spacing w:val="-5"/>
        </w:rPr>
        <w:t xml:space="preserve"> conclure</w:t>
      </w:r>
      <w:r w:rsidR="5BAA655D" w:rsidRPr="00A627C4">
        <w:rPr>
          <w:rFonts w:eastAsia="Times New Roman"/>
          <w:spacing w:val="-5"/>
        </w:rPr>
        <w:t xml:space="preserve"> que le PNB a «</w:t>
      </w:r>
      <w:r w:rsidR="00A16B57">
        <w:rPr>
          <w:rFonts w:eastAsia="Times New Roman"/>
          <w:spacing w:val="-5"/>
        </w:rPr>
        <w:t> </w:t>
      </w:r>
      <w:r w:rsidR="5BAA655D" w:rsidRPr="00A627C4">
        <w:rPr>
          <w:rFonts w:eastAsia="Times New Roman"/>
          <w:spacing w:val="-5"/>
        </w:rPr>
        <w:t>intentionnellement caus</w:t>
      </w:r>
      <w:r w:rsidR="00A16B57">
        <w:rPr>
          <w:rFonts w:eastAsia="Times New Roman"/>
          <w:spacing w:val="-5"/>
        </w:rPr>
        <w:t xml:space="preserve"> [é]</w:t>
      </w:r>
      <w:r w:rsidR="5BAA655D" w:rsidRPr="00A627C4">
        <w:rPr>
          <w:rFonts w:eastAsia="Times New Roman"/>
          <w:spacing w:val="-5"/>
        </w:rPr>
        <w:t xml:space="preserve"> des blessures graves à une personne ou la mort de celle-ci</w:t>
      </w:r>
      <w:r w:rsidR="00A16B57">
        <w:rPr>
          <w:rFonts w:eastAsia="Times New Roman"/>
          <w:spacing w:val="-5"/>
        </w:rPr>
        <w:t> </w:t>
      </w:r>
      <w:r w:rsidR="5BAA655D" w:rsidRPr="00A627C4">
        <w:rPr>
          <w:rFonts w:eastAsia="Times New Roman"/>
          <w:spacing w:val="-5"/>
        </w:rPr>
        <w:t>», et encore moins à conclure</w:t>
      </w:r>
      <w:r w:rsidR="25EB734C" w:rsidRPr="00A627C4">
        <w:rPr>
          <w:rFonts w:eastAsia="Times New Roman"/>
          <w:spacing w:val="-5"/>
        </w:rPr>
        <w:t xml:space="preserve"> que «</w:t>
      </w:r>
      <w:r w:rsidR="00A16B57">
        <w:rPr>
          <w:rFonts w:eastAsia="Times New Roman"/>
          <w:spacing w:val="-5"/>
        </w:rPr>
        <w:t> </w:t>
      </w:r>
      <w:r w:rsidR="25EB734C" w:rsidRPr="00A627C4">
        <w:rPr>
          <w:rFonts w:eastAsia="Times New Roman"/>
          <w:spacing w:val="-5"/>
        </w:rPr>
        <w:t>le PNB est l’instigateur ou l’auteur d’actes visant le renversement</w:t>
      </w:r>
      <w:r w:rsidR="00A16B57">
        <w:rPr>
          <w:rFonts w:eastAsia="Times New Roman"/>
          <w:spacing w:val="-5"/>
        </w:rPr>
        <w:t> </w:t>
      </w:r>
      <w:r w:rsidR="599DC058" w:rsidRPr="00A627C4">
        <w:rPr>
          <w:rFonts w:eastAsia="Times New Roman"/>
          <w:spacing w:val="-5"/>
        </w:rPr>
        <w:t>» d’un gouvernement par la force</w:t>
      </w:r>
      <w:r w:rsidR="001F7B7A" w:rsidRPr="00A627C4">
        <w:rPr>
          <w:rStyle w:val="FootnoteReference"/>
          <w:rFonts w:eastAsia="Times New Roman"/>
          <w:spacing w:val="-5"/>
        </w:rPr>
        <w:footnoteReference w:id="44"/>
      </w:r>
      <w:r w:rsidR="599DC058" w:rsidRPr="00A627C4">
        <w:rPr>
          <w:rFonts w:eastAsia="Times New Roman"/>
          <w:spacing w:val="-5"/>
        </w:rPr>
        <w:t>.</w:t>
      </w:r>
    </w:p>
    <w:p w14:paraId="2D1ECAC4" w14:textId="53E4E657" w:rsidR="0094510A" w:rsidRPr="00A627C4" w:rsidRDefault="0161B611" w:rsidP="07ABB96B">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En l’espèce, les faits allégués démontrent </w:t>
      </w:r>
      <w:r w:rsidR="385D41B6" w:rsidRPr="00A627C4">
        <w:rPr>
          <w:rFonts w:eastAsia="Times New Roman"/>
          <w:spacing w:val="-5"/>
        </w:rPr>
        <w:t xml:space="preserve">certes que les </w:t>
      </w:r>
      <w:r w:rsidR="385D41B6" w:rsidRPr="70488CBA">
        <w:rPr>
          <w:rFonts w:eastAsia="Times New Roman"/>
          <w:i/>
          <w:iCs/>
          <w:spacing w:val="-5"/>
        </w:rPr>
        <w:t xml:space="preserve">hartals </w:t>
      </w:r>
      <w:r w:rsidR="5850C698" w:rsidRPr="00A627C4">
        <w:rPr>
          <w:rFonts w:eastAsia="Times New Roman"/>
          <w:spacing w:val="-5"/>
        </w:rPr>
        <w:t xml:space="preserve">auxquels le PNB a fait appel </w:t>
      </w:r>
      <w:r w:rsidR="7451F408" w:rsidRPr="00A627C4">
        <w:rPr>
          <w:rFonts w:eastAsia="Times New Roman"/>
          <w:spacing w:val="-5"/>
        </w:rPr>
        <w:t>en 2010, 2012 et 2014 ont causé de la violence</w:t>
      </w:r>
      <w:r w:rsidR="2F732D69" w:rsidRPr="00A627C4">
        <w:rPr>
          <w:rFonts w:eastAsia="Times New Roman"/>
          <w:spacing w:val="-5"/>
        </w:rPr>
        <w:t xml:space="preserve">, et que ceux de 2014 ont été particulièrement virulents, causant entre autres la mort de fonctionnaires électoraux. </w:t>
      </w:r>
      <w:r w:rsidR="72D89F67" w:rsidRPr="00A627C4">
        <w:rPr>
          <w:rFonts w:eastAsia="Times New Roman"/>
          <w:spacing w:val="-5"/>
        </w:rPr>
        <w:t xml:space="preserve">Néanmoins, la juge Jagger a conclu à bon droit que </w:t>
      </w:r>
      <w:r w:rsidR="65930F9C" w:rsidRPr="00A627C4">
        <w:rPr>
          <w:rFonts w:eastAsia="Times New Roman"/>
          <w:spacing w:val="-5"/>
        </w:rPr>
        <w:t>«</w:t>
      </w:r>
      <w:r w:rsidR="00A16B57">
        <w:rPr>
          <w:rFonts w:eastAsia="Times New Roman"/>
          <w:spacing w:val="-5"/>
        </w:rPr>
        <w:t> </w:t>
      </w:r>
      <w:r w:rsidR="65930F9C" w:rsidRPr="00A627C4">
        <w:rPr>
          <w:rFonts w:eastAsia="Times New Roman"/>
          <w:spacing w:val="-5"/>
        </w:rPr>
        <w:t>la preuve n’appuie pas clairement la conclusion selon laquelle la perpétration d’actes de violence visant à renverser le gouvernement faisait partie des intentions</w:t>
      </w:r>
      <w:r w:rsidR="7D38A0DC" w:rsidRPr="00A627C4">
        <w:rPr>
          <w:rFonts w:eastAsia="Times New Roman"/>
          <w:spacing w:val="-5"/>
        </w:rPr>
        <w:t xml:space="preserve"> du PNB lorsqu’elle faisait des appels aux </w:t>
      </w:r>
      <w:r w:rsidR="7D38A0DC" w:rsidRPr="70488CBA">
        <w:rPr>
          <w:rFonts w:eastAsia="Times New Roman"/>
          <w:i/>
          <w:iCs/>
          <w:spacing w:val="-5"/>
        </w:rPr>
        <w:t xml:space="preserve">hartals </w:t>
      </w:r>
      <w:r w:rsidR="7D38A0DC" w:rsidRPr="00A627C4">
        <w:rPr>
          <w:rFonts w:eastAsia="Times New Roman"/>
          <w:spacing w:val="-5"/>
        </w:rPr>
        <w:t>ou aux grèves générales</w:t>
      </w:r>
      <w:r w:rsidR="00A16B57">
        <w:rPr>
          <w:rFonts w:eastAsia="Times New Roman"/>
          <w:spacing w:val="-5"/>
        </w:rPr>
        <w:t> </w:t>
      </w:r>
      <w:r w:rsidR="7D38A0DC" w:rsidRPr="00A627C4">
        <w:rPr>
          <w:rFonts w:eastAsia="Times New Roman"/>
          <w:spacing w:val="-5"/>
        </w:rPr>
        <w:t>»</w:t>
      </w:r>
      <w:r w:rsidR="00884A41" w:rsidRPr="00A627C4">
        <w:rPr>
          <w:rStyle w:val="FootnoteReference"/>
          <w:rFonts w:eastAsia="Times New Roman"/>
          <w:spacing w:val="-5"/>
        </w:rPr>
        <w:footnoteReference w:id="45"/>
      </w:r>
      <w:r w:rsidR="7D38A0DC" w:rsidRPr="00A627C4">
        <w:rPr>
          <w:rFonts w:eastAsia="Times New Roman"/>
          <w:spacing w:val="-5"/>
        </w:rPr>
        <w:t xml:space="preserve">. </w:t>
      </w:r>
      <w:r w:rsidR="5E8D61CF" w:rsidRPr="00A627C4">
        <w:rPr>
          <w:rFonts w:eastAsia="Times New Roman"/>
          <w:spacing w:val="-5"/>
        </w:rPr>
        <w:t>L’agent Ali a eu tort de considérer que l’absence</w:t>
      </w:r>
      <w:r w:rsidR="2E4E5C3F" w:rsidRPr="00A627C4">
        <w:rPr>
          <w:rFonts w:eastAsia="Times New Roman"/>
          <w:spacing w:val="-5"/>
        </w:rPr>
        <w:t xml:space="preserve"> d’intervention</w:t>
      </w:r>
      <w:r w:rsidR="3A4F5950" w:rsidRPr="00A627C4">
        <w:rPr>
          <w:rFonts w:eastAsia="Times New Roman"/>
          <w:spacing w:val="-5"/>
        </w:rPr>
        <w:t xml:space="preserve"> du PNB</w:t>
      </w:r>
      <w:r w:rsidR="2E4E5C3F" w:rsidRPr="00A627C4">
        <w:rPr>
          <w:rFonts w:eastAsia="Times New Roman"/>
          <w:spacing w:val="-5"/>
        </w:rPr>
        <w:t xml:space="preserve"> pour «</w:t>
      </w:r>
      <w:r w:rsidR="00A16B57">
        <w:rPr>
          <w:rFonts w:eastAsia="Times New Roman"/>
          <w:spacing w:val="-5"/>
        </w:rPr>
        <w:t> </w:t>
      </w:r>
      <w:r w:rsidR="2E4E5C3F" w:rsidRPr="00A627C4">
        <w:rPr>
          <w:rFonts w:eastAsia="Times New Roman"/>
          <w:spacing w:val="-5"/>
        </w:rPr>
        <w:t xml:space="preserve">veiller à ce que les </w:t>
      </w:r>
      <w:r w:rsidR="2E4E5C3F" w:rsidRPr="70488CBA">
        <w:rPr>
          <w:rFonts w:eastAsia="Times New Roman"/>
          <w:i/>
          <w:iCs/>
          <w:spacing w:val="-5"/>
        </w:rPr>
        <w:t xml:space="preserve">hartals </w:t>
      </w:r>
      <w:r w:rsidR="2E4E5C3F" w:rsidRPr="00A627C4">
        <w:rPr>
          <w:rFonts w:eastAsia="Times New Roman"/>
          <w:spacing w:val="-5"/>
        </w:rPr>
        <w:t>ne soient plus synonymes de violence</w:t>
      </w:r>
      <w:r w:rsidR="0FE181FA" w:rsidRPr="00A627C4">
        <w:rPr>
          <w:rFonts w:eastAsia="Times New Roman"/>
          <w:spacing w:val="-5"/>
        </w:rPr>
        <w:t> […] révèle l’intention requise</w:t>
      </w:r>
      <w:r w:rsidR="00950766" w:rsidRPr="00A627C4">
        <w:rPr>
          <w:rStyle w:val="FootnoteReference"/>
          <w:rFonts w:eastAsia="Times New Roman"/>
          <w:spacing w:val="-5"/>
        </w:rPr>
        <w:footnoteReference w:id="46"/>
      </w:r>
      <w:r w:rsidR="0FE181FA" w:rsidRPr="00A627C4">
        <w:rPr>
          <w:rFonts w:eastAsia="Times New Roman"/>
          <w:spacing w:val="-5"/>
        </w:rPr>
        <w:t>.</w:t>
      </w:r>
      <w:r w:rsidR="00A16B57">
        <w:rPr>
          <w:rFonts w:eastAsia="Times New Roman"/>
          <w:spacing w:val="-5"/>
        </w:rPr>
        <w:t> </w:t>
      </w:r>
      <w:r w:rsidR="0FE181FA" w:rsidRPr="00A627C4">
        <w:rPr>
          <w:rFonts w:eastAsia="Times New Roman"/>
          <w:spacing w:val="-5"/>
        </w:rPr>
        <w:t>»</w:t>
      </w:r>
      <w:r w:rsidR="0FCD1CB9" w:rsidRPr="00A627C4">
        <w:rPr>
          <w:rFonts w:eastAsia="Times New Roman"/>
          <w:spacing w:val="-5"/>
        </w:rPr>
        <w:t xml:space="preserve"> Il ne s’agit pas du fardeau de preuve approprié. Comme le confirme l’affaire </w:t>
      </w:r>
      <w:r w:rsidR="0FCD1CB9" w:rsidRPr="70488CBA">
        <w:rPr>
          <w:rFonts w:eastAsia="Times New Roman"/>
          <w:i/>
          <w:iCs/>
          <w:spacing w:val="-5"/>
        </w:rPr>
        <w:t>Islam</w:t>
      </w:r>
      <w:r w:rsidR="528098B6" w:rsidRPr="70488CBA">
        <w:rPr>
          <w:rFonts w:eastAsia="Times New Roman"/>
          <w:i/>
          <w:iCs/>
          <w:spacing w:val="-5"/>
        </w:rPr>
        <w:t xml:space="preserve">, </w:t>
      </w:r>
      <w:r w:rsidR="0A49C41A" w:rsidRPr="00A627C4">
        <w:rPr>
          <w:rFonts w:eastAsia="Times New Roman"/>
          <w:spacing w:val="-5"/>
        </w:rPr>
        <w:t>«</w:t>
      </w:r>
      <w:r w:rsidR="00A16B57">
        <w:rPr>
          <w:rFonts w:eastAsia="Times New Roman"/>
          <w:spacing w:val="-5"/>
        </w:rPr>
        <w:t> </w:t>
      </w:r>
      <w:r w:rsidR="0A49C41A" w:rsidRPr="00A627C4">
        <w:rPr>
          <w:rFonts w:eastAsia="Times New Roman"/>
          <w:spacing w:val="-5"/>
        </w:rPr>
        <w:t xml:space="preserve">l’insouciance ou </w:t>
      </w:r>
      <w:r w:rsidR="77E47A47" w:rsidRPr="00A627C4">
        <w:rPr>
          <w:rFonts w:eastAsia="Times New Roman"/>
          <w:spacing w:val="-5"/>
        </w:rPr>
        <w:t xml:space="preserve">[la] négligence </w:t>
      </w:r>
      <w:r w:rsidR="09C04FAC" w:rsidRPr="00A627C4">
        <w:rPr>
          <w:rFonts w:eastAsia="Times New Roman"/>
          <w:spacing w:val="-5"/>
        </w:rPr>
        <w:t>quant</w:t>
      </w:r>
      <w:r w:rsidR="77E47A47" w:rsidRPr="00A627C4">
        <w:rPr>
          <w:rFonts w:eastAsia="Times New Roman"/>
          <w:spacing w:val="-5"/>
        </w:rPr>
        <w:t xml:space="preserve"> à ce qui pourrait </w:t>
      </w:r>
      <w:r w:rsidR="1EB4D63F" w:rsidRPr="00A627C4">
        <w:rPr>
          <w:rFonts w:eastAsia="Times New Roman"/>
          <w:spacing w:val="-5"/>
        </w:rPr>
        <w:t>s’ensuivre […] n’a rien à voir avec l’intention réelle</w:t>
      </w:r>
      <w:r w:rsidR="00A16B57">
        <w:rPr>
          <w:rFonts w:eastAsia="Times New Roman"/>
          <w:spacing w:val="-5"/>
        </w:rPr>
        <w:t> </w:t>
      </w:r>
      <w:r w:rsidR="1EB4D63F" w:rsidRPr="00A627C4">
        <w:rPr>
          <w:rFonts w:eastAsia="Times New Roman"/>
          <w:spacing w:val="-5"/>
        </w:rPr>
        <w:t>»</w:t>
      </w:r>
      <w:r w:rsidR="007D3E06" w:rsidRPr="00A627C4">
        <w:rPr>
          <w:rStyle w:val="FootnoteReference"/>
          <w:rFonts w:eastAsia="Times New Roman"/>
          <w:spacing w:val="-5"/>
        </w:rPr>
        <w:footnoteReference w:id="47"/>
      </w:r>
      <w:r w:rsidR="1EB4D63F" w:rsidRPr="00A627C4">
        <w:rPr>
          <w:rFonts w:eastAsia="Times New Roman"/>
          <w:spacing w:val="-5"/>
        </w:rPr>
        <w:t>.</w:t>
      </w:r>
      <w:r w:rsidR="3A4F5950" w:rsidRPr="00A627C4">
        <w:rPr>
          <w:rFonts w:eastAsia="Times New Roman"/>
          <w:spacing w:val="-5"/>
        </w:rPr>
        <w:t xml:space="preserve"> La preuve montre plutôt </w:t>
      </w:r>
      <w:r w:rsidR="2814237F" w:rsidRPr="00A627C4">
        <w:rPr>
          <w:rFonts w:eastAsia="Times New Roman"/>
          <w:spacing w:val="-5"/>
        </w:rPr>
        <w:t xml:space="preserve">que le PNB n’avait pas de lien direct </w:t>
      </w:r>
      <w:r w:rsidR="21845126" w:rsidRPr="00A627C4">
        <w:rPr>
          <w:rFonts w:eastAsia="Times New Roman"/>
          <w:spacing w:val="-5"/>
        </w:rPr>
        <w:t xml:space="preserve">avec les actes de violence. </w:t>
      </w:r>
      <w:r w:rsidR="000086F5" w:rsidRPr="00A627C4">
        <w:rPr>
          <w:rFonts w:eastAsia="Times New Roman"/>
          <w:spacing w:val="-5"/>
        </w:rPr>
        <w:t xml:space="preserve">Il existe une distinction entre </w:t>
      </w:r>
      <w:r w:rsidR="360DCE08" w:rsidRPr="00A627C4">
        <w:rPr>
          <w:rFonts w:eastAsia="Times New Roman"/>
          <w:spacing w:val="-5"/>
        </w:rPr>
        <w:t xml:space="preserve">la preuve d’actes de violence et la preuve </w:t>
      </w:r>
      <w:r w:rsidR="33103EA6" w:rsidRPr="00A627C4">
        <w:rPr>
          <w:rFonts w:eastAsia="Times New Roman"/>
          <w:spacing w:val="-5"/>
        </w:rPr>
        <w:t xml:space="preserve">de l’intention de causer des actes de violence. </w:t>
      </w:r>
      <w:r w:rsidR="4F3F9F48" w:rsidRPr="00A627C4">
        <w:rPr>
          <w:rFonts w:eastAsia="Times New Roman"/>
          <w:spacing w:val="-5"/>
        </w:rPr>
        <w:t>L’agent Ali</w:t>
      </w:r>
      <w:r w:rsidR="67BC57B6" w:rsidRPr="00A627C4">
        <w:rPr>
          <w:rFonts w:eastAsia="Times New Roman"/>
          <w:spacing w:val="-5"/>
        </w:rPr>
        <w:t xml:space="preserve">, </w:t>
      </w:r>
      <w:r w:rsidR="67BC57B6" w:rsidRPr="07ABB96B">
        <w:rPr>
          <w:rFonts w:eastAsia="Times New Roman"/>
        </w:rPr>
        <w:t xml:space="preserve">à partir du premier, a à tort </w:t>
      </w:r>
      <w:r w:rsidR="00A16B57">
        <w:rPr>
          <w:rFonts w:eastAsia="Times New Roman"/>
        </w:rPr>
        <w:t>tenu</w:t>
      </w:r>
      <w:r w:rsidR="67BC57B6" w:rsidRPr="07ABB96B">
        <w:rPr>
          <w:rFonts w:eastAsia="Times New Roman"/>
        </w:rPr>
        <w:t xml:space="preserve"> pour acquis le deuxième.</w:t>
      </w:r>
      <w:r w:rsidR="2E7F3C99" w:rsidRPr="00A627C4">
        <w:rPr>
          <w:rFonts w:eastAsia="Times New Roman"/>
          <w:spacing w:val="-5"/>
        </w:rPr>
        <w:t xml:space="preserve"> </w:t>
      </w:r>
    </w:p>
    <w:p w14:paraId="13995F93" w14:textId="5B9A2EEC" w:rsidR="000C5913" w:rsidRPr="00A627C4" w:rsidRDefault="002A6A7B" w:rsidP="006025E0">
      <w:pPr>
        <w:pStyle w:val="ListParagraph"/>
        <w:numPr>
          <w:ilvl w:val="2"/>
          <w:numId w:val="11"/>
        </w:numPr>
        <w:spacing w:after="240"/>
        <w:jc w:val="both"/>
        <w:rPr>
          <w:rFonts w:eastAsia="Times New Roman"/>
          <w:b/>
          <w:bCs/>
          <w:spacing w:val="-5"/>
        </w:rPr>
      </w:pPr>
      <w:r w:rsidRPr="00A627C4">
        <w:rPr>
          <w:rFonts w:eastAsia="Times New Roman"/>
          <w:b/>
          <w:bCs/>
          <w:spacing w:val="-5"/>
        </w:rPr>
        <w:t>La notion de renversement</w:t>
      </w:r>
    </w:p>
    <w:p w14:paraId="313D5B2D" w14:textId="4DC5A083" w:rsidR="000C5913" w:rsidRPr="00A627C4" w:rsidRDefault="10F90251"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Le libellé de l’alinéa 34</w:t>
      </w:r>
      <w:r w:rsidR="00A16B57">
        <w:rPr>
          <w:rFonts w:eastAsia="Times New Roman"/>
          <w:spacing w:val="-5"/>
        </w:rPr>
        <w:t xml:space="preserve"> </w:t>
      </w:r>
      <w:r w:rsidRPr="00A627C4">
        <w:rPr>
          <w:rFonts w:eastAsia="Times New Roman"/>
          <w:spacing w:val="-5"/>
        </w:rPr>
        <w:t>(1) b) de la LIPR prévoit que l’organisation en question doive être l’«</w:t>
      </w:r>
      <w:r w:rsidR="00A16B57">
        <w:rPr>
          <w:rFonts w:eastAsia="Times New Roman"/>
          <w:spacing w:val="-5"/>
        </w:rPr>
        <w:t> </w:t>
      </w:r>
      <w:r w:rsidRPr="00A627C4">
        <w:rPr>
          <w:rFonts w:eastAsia="Times New Roman"/>
          <w:spacing w:val="-5"/>
        </w:rPr>
        <w:t>instigat[rice] ou l’aut</w:t>
      </w:r>
      <w:r w:rsidR="00A16B57">
        <w:rPr>
          <w:rFonts w:eastAsia="Times New Roman"/>
          <w:spacing w:val="-5"/>
        </w:rPr>
        <w:t xml:space="preserve"> </w:t>
      </w:r>
      <w:r w:rsidRPr="00A627C4">
        <w:rPr>
          <w:rFonts w:eastAsia="Times New Roman"/>
          <w:spacing w:val="-5"/>
        </w:rPr>
        <w:t xml:space="preserve">[rice] d’actes visant au </w:t>
      </w:r>
      <w:r w:rsidRPr="00A627C4">
        <w:rPr>
          <w:rFonts w:eastAsia="Times New Roman"/>
          <w:spacing w:val="-5"/>
          <w:u w:val="single"/>
        </w:rPr>
        <w:t xml:space="preserve">renversement </w:t>
      </w:r>
      <w:r w:rsidRPr="00A627C4">
        <w:rPr>
          <w:rFonts w:eastAsia="Times New Roman"/>
          <w:spacing w:val="-5"/>
        </w:rPr>
        <w:t>d’un gouvernement par la force</w:t>
      </w:r>
      <w:r w:rsidR="00A16B57">
        <w:rPr>
          <w:rFonts w:eastAsia="Times New Roman"/>
          <w:spacing w:val="-5"/>
        </w:rPr>
        <w:t> </w:t>
      </w:r>
      <w:r w:rsidRPr="00A627C4">
        <w:rPr>
          <w:rFonts w:eastAsia="Times New Roman"/>
          <w:spacing w:val="-5"/>
        </w:rPr>
        <w:t>». Dans sa version anglaise, les termes employés sont «</w:t>
      </w:r>
      <w:r w:rsidR="00A16B57">
        <w:rPr>
          <w:rFonts w:eastAsia="Times New Roman"/>
          <w:spacing w:val="-5"/>
        </w:rPr>
        <w:t> </w:t>
      </w:r>
      <w:r w:rsidRPr="00A627C4">
        <w:rPr>
          <w:rFonts w:eastAsia="Times New Roman"/>
          <w:spacing w:val="-5"/>
        </w:rPr>
        <w:t xml:space="preserve">engaging in or instigating the </w:t>
      </w:r>
      <w:r w:rsidRPr="00A627C4">
        <w:rPr>
          <w:rFonts w:eastAsia="Times New Roman"/>
          <w:spacing w:val="-5"/>
          <w:u w:val="single"/>
        </w:rPr>
        <w:t>subversion</w:t>
      </w:r>
      <w:r w:rsidRPr="00A627C4">
        <w:rPr>
          <w:rFonts w:eastAsia="Times New Roman"/>
          <w:spacing w:val="-5"/>
        </w:rPr>
        <w:t xml:space="preserve"> by force of any government</w:t>
      </w:r>
      <w:r w:rsidR="00A16B57">
        <w:rPr>
          <w:rFonts w:eastAsia="Times New Roman"/>
          <w:spacing w:val="-5"/>
        </w:rPr>
        <w:t> </w:t>
      </w:r>
      <w:r w:rsidRPr="00A627C4">
        <w:rPr>
          <w:rFonts w:eastAsia="Times New Roman"/>
          <w:spacing w:val="-5"/>
        </w:rPr>
        <w:t>»</w:t>
      </w:r>
      <w:r w:rsidR="2FFA1886" w:rsidRPr="00A627C4">
        <w:rPr>
          <w:rFonts w:eastAsia="Times New Roman"/>
          <w:spacing w:val="-5"/>
        </w:rPr>
        <w:t xml:space="preserve"> (nos soulignements)</w:t>
      </w:r>
      <w:r w:rsidRPr="00A627C4">
        <w:rPr>
          <w:rFonts w:eastAsia="Times New Roman"/>
          <w:spacing w:val="-5"/>
        </w:rPr>
        <w:t>. Il est pertinent de faire un bref survol des décisions antérieures portant sur l’interprétation des termes «</w:t>
      </w:r>
      <w:r w:rsidR="00A16B57">
        <w:rPr>
          <w:rFonts w:eastAsia="Times New Roman"/>
          <w:spacing w:val="-5"/>
        </w:rPr>
        <w:t> </w:t>
      </w:r>
      <w:r w:rsidRPr="00A627C4">
        <w:rPr>
          <w:rFonts w:eastAsia="Times New Roman"/>
          <w:spacing w:val="-5"/>
        </w:rPr>
        <w:t>subversion</w:t>
      </w:r>
      <w:r w:rsidR="00A16B57">
        <w:rPr>
          <w:rFonts w:eastAsia="Times New Roman"/>
          <w:spacing w:val="-5"/>
        </w:rPr>
        <w:t> </w:t>
      </w:r>
      <w:r w:rsidRPr="00A627C4">
        <w:rPr>
          <w:rFonts w:eastAsia="Times New Roman"/>
          <w:spacing w:val="-5"/>
        </w:rPr>
        <w:t>» et «</w:t>
      </w:r>
      <w:r w:rsidR="00A16B57">
        <w:rPr>
          <w:rFonts w:eastAsia="Times New Roman"/>
          <w:spacing w:val="-5"/>
        </w:rPr>
        <w:t> </w:t>
      </w:r>
      <w:r w:rsidRPr="00A627C4">
        <w:rPr>
          <w:rFonts w:eastAsia="Times New Roman"/>
          <w:spacing w:val="-5"/>
        </w:rPr>
        <w:t>renversement</w:t>
      </w:r>
      <w:r w:rsidR="00A16B57">
        <w:rPr>
          <w:rFonts w:eastAsia="Times New Roman"/>
          <w:spacing w:val="-5"/>
        </w:rPr>
        <w:t> </w:t>
      </w:r>
      <w:r w:rsidRPr="00A627C4">
        <w:rPr>
          <w:rFonts w:eastAsia="Times New Roman"/>
          <w:spacing w:val="-5"/>
        </w:rPr>
        <w:t>»</w:t>
      </w:r>
    </w:p>
    <w:p w14:paraId="2F6C242B" w14:textId="77CA6363" w:rsidR="000C5913" w:rsidRPr="00A627C4" w:rsidRDefault="10F90251" w:rsidP="00972D27">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L’affaire </w:t>
      </w:r>
      <w:r w:rsidRPr="7F15EABB">
        <w:rPr>
          <w:rFonts w:eastAsia="Times New Roman"/>
          <w:i/>
          <w:iCs/>
          <w:spacing w:val="-5"/>
        </w:rPr>
        <w:t>Al Yamani</w:t>
      </w:r>
      <w:r w:rsidR="00A16B57">
        <w:rPr>
          <w:rFonts w:eastAsia="Times New Roman"/>
          <w:i/>
          <w:iCs/>
          <w:spacing w:val="-5"/>
        </w:rPr>
        <w:t> </w:t>
      </w:r>
      <w:r w:rsidRPr="7F15EABB">
        <w:rPr>
          <w:rFonts w:eastAsia="Times New Roman"/>
          <w:i/>
          <w:iCs/>
          <w:spacing w:val="-5"/>
        </w:rPr>
        <w:t xml:space="preserve">1, </w:t>
      </w:r>
      <w:r w:rsidRPr="00A627C4">
        <w:rPr>
          <w:rFonts w:eastAsia="Times New Roman"/>
          <w:spacing w:val="-5"/>
        </w:rPr>
        <w:t>où il est question d’interpréter le sens du terme «</w:t>
      </w:r>
      <w:r w:rsidR="00A16B57">
        <w:rPr>
          <w:rFonts w:eastAsia="Times New Roman"/>
          <w:spacing w:val="-5"/>
        </w:rPr>
        <w:t> </w:t>
      </w:r>
      <w:r w:rsidRPr="00A627C4">
        <w:rPr>
          <w:rFonts w:eastAsia="Times New Roman"/>
          <w:spacing w:val="-5"/>
        </w:rPr>
        <w:t>subversion</w:t>
      </w:r>
      <w:r w:rsidR="00A16B57">
        <w:rPr>
          <w:rFonts w:eastAsia="Times New Roman"/>
          <w:spacing w:val="-5"/>
        </w:rPr>
        <w:t> </w:t>
      </w:r>
      <w:r w:rsidRPr="00A627C4">
        <w:rPr>
          <w:rFonts w:eastAsia="Times New Roman"/>
          <w:spacing w:val="-5"/>
        </w:rPr>
        <w:t>» à l’alinéa</w:t>
      </w:r>
      <w:r w:rsidR="00A16B57">
        <w:rPr>
          <w:rFonts w:eastAsia="Times New Roman"/>
          <w:spacing w:val="-5"/>
        </w:rPr>
        <w:t> </w:t>
      </w:r>
      <w:r w:rsidRPr="00A627C4">
        <w:rPr>
          <w:rFonts w:eastAsia="Times New Roman"/>
          <w:spacing w:val="-5"/>
        </w:rPr>
        <w:t xml:space="preserve">19 (1) e) de la </w:t>
      </w:r>
      <w:r w:rsidRPr="7F15EABB">
        <w:rPr>
          <w:rFonts w:eastAsia="Times New Roman"/>
          <w:i/>
          <w:iCs/>
          <w:spacing w:val="-5"/>
        </w:rPr>
        <w:t xml:space="preserve">Loi sur l’immigration </w:t>
      </w:r>
      <w:r w:rsidRPr="00A627C4">
        <w:rPr>
          <w:rFonts w:eastAsia="Times New Roman"/>
          <w:spacing w:val="-5"/>
        </w:rPr>
        <w:t>de 1985</w:t>
      </w:r>
      <w:r w:rsidR="00BE6E6A" w:rsidRPr="00A627C4">
        <w:rPr>
          <w:rStyle w:val="FootnoteReference"/>
          <w:rFonts w:eastAsia="Times New Roman"/>
          <w:spacing w:val="-5"/>
        </w:rPr>
        <w:footnoteReference w:id="48"/>
      </w:r>
      <w:r w:rsidRPr="00A627C4">
        <w:rPr>
          <w:rFonts w:eastAsia="Times New Roman"/>
          <w:spacing w:val="-5"/>
        </w:rPr>
        <w:t>, nous éclaire sur le sens du terme «</w:t>
      </w:r>
      <w:r w:rsidR="00A16B57">
        <w:rPr>
          <w:rFonts w:eastAsia="Times New Roman"/>
          <w:spacing w:val="-5"/>
        </w:rPr>
        <w:t> </w:t>
      </w:r>
      <w:r w:rsidRPr="00A627C4">
        <w:rPr>
          <w:rFonts w:eastAsia="Times New Roman"/>
          <w:spacing w:val="-5"/>
        </w:rPr>
        <w:t>renversement</w:t>
      </w:r>
      <w:r w:rsidR="00A16B57">
        <w:rPr>
          <w:rFonts w:eastAsia="Times New Roman"/>
          <w:spacing w:val="-5"/>
        </w:rPr>
        <w:t> </w:t>
      </w:r>
      <w:r w:rsidRPr="00A627C4">
        <w:rPr>
          <w:rFonts w:eastAsia="Times New Roman"/>
          <w:spacing w:val="-5"/>
        </w:rPr>
        <w:t>», qui y est intrinsèquement lié</w:t>
      </w:r>
      <w:r w:rsidR="000C5913" w:rsidRPr="00A627C4">
        <w:rPr>
          <w:rStyle w:val="FootnoteReference"/>
          <w:rFonts w:eastAsia="Times New Roman"/>
          <w:spacing w:val="-5"/>
        </w:rPr>
        <w:footnoteReference w:id="49"/>
      </w:r>
      <w:r w:rsidRPr="00A627C4">
        <w:rPr>
          <w:rFonts w:eastAsia="Times New Roman"/>
          <w:spacing w:val="-5"/>
        </w:rPr>
        <w:t>. On y reconnaît que le concept est «</w:t>
      </w:r>
      <w:r w:rsidR="00A16B57">
        <w:rPr>
          <w:rFonts w:eastAsia="Times New Roman"/>
          <w:spacing w:val="-5"/>
        </w:rPr>
        <w:t> </w:t>
      </w:r>
      <w:r w:rsidRPr="00A627C4">
        <w:rPr>
          <w:rFonts w:eastAsia="Times New Roman"/>
          <w:spacing w:val="-5"/>
        </w:rPr>
        <w:t>flou</w:t>
      </w:r>
      <w:r w:rsidR="00A16B57">
        <w:rPr>
          <w:rFonts w:eastAsia="Times New Roman"/>
          <w:spacing w:val="-5"/>
        </w:rPr>
        <w:t> </w:t>
      </w:r>
      <w:r w:rsidRPr="00A627C4">
        <w:rPr>
          <w:rFonts w:eastAsia="Times New Roman"/>
          <w:spacing w:val="-5"/>
        </w:rPr>
        <w:t>» et que le sens ordinaire trouvé dans les dictionnaires ne permet pas de la distinguer de «</w:t>
      </w:r>
      <w:r w:rsidR="00A16B57">
        <w:rPr>
          <w:rFonts w:eastAsia="Times New Roman"/>
          <w:spacing w:val="-5"/>
        </w:rPr>
        <w:t> </w:t>
      </w:r>
      <w:r w:rsidRPr="00A627C4">
        <w:rPr>
          <w:rFonts w:eastAsia="Times New Roman"/>
          <w:spacing w:val="-5"/>
        </w:rPr>
        <w:t>la dissidence licite</w:t>
      </w:r>
      <w:r w:rsidR="00A16B57">
        <w:rPr>
          <w:rFonts w:eastAsia="Times New Roman"/>
          <w:spacing w:val="-5"/>
        </w:rPr>
        <w:t> </w:t>
      </w:r>
      <w:r w:rsidRPr="00A627C4">
        <w:rPr>
          <w:rFonts w:eastAsia="Times New Roman"/>
          <w:spacing w:val="-5"/>
        </w:rPr>
        <w:t>». La cour retient que des éléments de clandestinité, de tromperie et de destruction de l’intérieur doivent être retenus</w:t>
      </w:r>
      <w:r w:rsidR="000C5913" w:rsidRPr="00A627C4">
        <w:rPr>
          <w:rStyle w:val="FootnoteReference"/>
          <w:rFonts w:eastAsia="Times New Roman"/>
          <w:spacing w:val="-5"/>
        </w:rPr>
        <w:footnoteReference w:id="50"/>
      </w:r>
      <w:r w:rsidR="5A44ED85" w:rsidRPr="00A627C4">
        <w:rPr>
          <w:rFonts w:eastAsia="Times New Roman"/>
          <w:spacing w:val="-5"/>
        </w:rPr>
        <w:t xml:space="preserve">, ce qui est confirmé par l’affaire </w:t>
      </w:r>
      <w:r w:rsidR="5A44ED85" w:rsidRPr="7F15EABB">
        <w:rPr>
          <w:rFonts w:eastAsia="Times New Roman"/>
          <w:i/>
          <w:iCs/>
          <w:spacing w:val="-5"/>
        </w:rPr>
        <w:t>Qu</w:t>
      </w:r>
      <w:r w:rsidR="000C5913" w:rsidRPr="00A627C4">
        <w:rPr>
          <w:rStyle w:val="FootnoteReference"/>
          <w:rFonts w:eastAsia="Times New Roman"/>
          <w:spacing w:val="-5"/>
        </w:rPr>
        <w:footnoteReference w:id="51"/>
      </w:r>
      <w:r w:rsidRPr="00A627C4">
        <w:rPr>
          <w:rFonts w:eastAsia="Times New Roman"/>
          <w:spacing w:val="-5"/>
        </w:rPr>
        <w:t xml:space="preserve">. </w:t>
      </w:r>
    </w:p>
    <w:p w14:paraId="62B45B43" w14:textId="72F1F247" w:rsidR="000C5913" w:rsidRPr="00A627C4" w:rsidRDefault="10F90251"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Plus récemment, sous le régime de la LIPR, la Cour d’appel fédérale</w:t>
      </w:r>
      <w:r w:rsidR="3836943E" w:rsidRPr="00A627C4">
        <w:rPr>
          <w:rFonts w:eastAsia="Times New Roman"/>
          <w:spacing w:val="-5"/>
        </w:rPr>
        <w:t xml:space="preserve"> (ci-après «</w:t>
      </w:r>
      <w:r w:rsidR="00A16B57">
        <w:rPr>
          <w:rFonts w:eastAsia="Times New Roman"/>
          <w:spacing w:val="-5"/>
        </w:rPr>
        <w:t> </w:t>
      </w:r>
      <w:r w:rsidR="3836943E" w:rsidRPr="00A627C4">
        <w:rPr>
          <w:rFonts w:eastAsia="Times New Roman"/>
          <w:spacing w:val="-5"/>
        </w:rPr>
        <w:t>CAF</w:t>
      </w:r>
      <w:r w:rsidR="00A16B57">
        <w:rPr>
          <w:rFonts w:eastAsia="Times New Roman"/>
          <w:spacing w:val="-5"/>
        </w:rPr>
        <w:t> </w:t>
      </w:r>
      <w:r w:rsidR="3836943E" w:rsidRPr="00A627C4">
        <w:rPr>
          <w:rFonts w:eastAsia="Times New Roman"/>
          <w:spacing w:val="-5"/>
        </w:rPr>
        <w:t xml:space="preserve">») </w:t>
      </w:r>
      <w:r w:rsidRPr="00A627C4">
        <w:rPr>
          <w:rFonts w:eastAsia="Times New Roman"/>
          <w:spacing w:val="-5"/>
        </w:rPr>
        <w:t>s’est penchée pour la première et la seule occasion sur la notion de «</w:t>
      </w:r>
      <w:r w:rsidR="00A16B57">
        <w:rPr>
          <w:rFonts w:eastAsia="Times New Roman"/>
          <w:spacing w:val="-5"/>
        </w:rPr>
        <w:t> </w:t>
      </w:r>
      <w:r w:rsidRPr="00A627C4">
        <w:rPr>
          <w:rFonts w:eastAsia="Times New Roman"/>
          <w:spacing w:val="-5"/>
        </w:rPr>
        <w:t>renversement</w:t>
      </w:r>
      <w:r w:rsidR="00A16B57">
        <w:rPr>
          <w:rFonts w:eastAsia="Times New Roman"/>
          <w:spacing w:val="-5"/>
        </w:rPr>
        <w:t> </w:t>
      </w:r>
      <w:r w:rsidRPr="00A627C4">
        <w:rPr>
          <w:rFonts w:eastAsia="Times New Roman"/>
          <w:spacing w:val="-5"/>
        </w:rPr>
        <w:t>» à l’alinéa 34</w:t>
      </w:r>
      <w:r w:rsidR="00A16B57">
        <w:rPr>
          <w:rFonts w:eastAsia="Times New Roman"/>
          <w:spacing w:val="-5"/>
        </w:rPr>
        <w:t xml:space="preserve"> </w:t>
      </w:r>
      <w:r w:rsidRPr="00A627C4">
        <w:rPr>
          <w:rFonts w:eastAsia="Times New Roman"/>
          <w:spacing w:val="-5"/>
        </w:rPr>
        <w:t xml:space="preserve">(1) b) de la LIPR dans l’arrêt </w:t>
      </w:r>
      <w:r w:rsidRPr="79927EA4">
        <w:rPr>
          <w:rFonts w:eastAsia="Times New Roman"/>
          <w:i/>
          <w:iCs/>
          <w:spacing w:val="-5"/>
        </w:rPr>
        <w:t>Najafi</w:t>
      </w:r>
      <w:r w:rsidRPr="00A627C4">
        <w:rPr>
          <w:rFonts w:eastAsia="Times New Roman"/>
          <w:spacing w:val="-5"/>
        </w:rPr>
        <w:t>. La CAF, s’appuyant sur l’interprétation qui a été faite du terme «</w:t>
      </w:r>
      <w:r w:rsidR="00A16B57">
        <w:rPr>
          <w:rFonts w:eastAsia="Times New Roman"/>
          <w:spacing w:val="-5"/>
        </w:rPr>
        <w:t> </w:t>
      </w:r>
      <w:r w:rsidRPr="00A627C4">
        <w:rPr>
          <w:rFonts w:eastAsia="Times New Roman"/>
          <w:spacing w:val="-5"/>
        </w:rPr>
        <w:t>subversion</w:t>
      </w:r>
      <w:r w:rsidR="00A16B57">
        <w:rPr>
          <w:rFonts w:eastAsia="Times New Roman"/>
          <w:spacing w:val="-5"/>
        </w:rPr>
        <w:t> </w:t>
      </w:r>
      <w:r w:rsidRPr="00A627C4">
        <w:rPr>
          <w:rFonts w:eastAsia="Times New Roman"/>
          <w:spacing w:val="-5"/>
        </w:rPr>
        <w:t>» à l’alinéa</w:t>
      </w:r>
      <w:r w:rsidR="00A16B57">
        <w:rPr>
          <w:rFonts w:eastAsia="Times New Roman"/>
          <w:spacing w:val="-5"/>
        </w:rPr>
        <w:t> </w:t>
      </w:r>
      <w:r w:rsidRPr="00A627C4">
        <w:rPr>
          <w:rFonts w:eastAsia="Times New Roman"/>
          <w:spacing w:val="-5"/>
        </w:rPr>
        <w:t>19</w:t>
      </w:r>
      <w:r w:rsidR="00A16B57">
        <w:rPr>
          <w:rFonts w:eastAsia="Times New Roman"/>
          <w:spacing w:val="-5"/>
        </w:rPr>
        <w:t xml:space="preserve"> </w:t>
      </w:r>
      <w:r w:rsidRPr="00A627C4">
        <w:rPr>
          <w:rFonts w:eastAsia="Times New Roman"/>
          <w:spacing w:val="-5"/>
        </w:rPr>
        <w:t xml:space="preserve">(1) e) de la </w:t>
      </w:r>
      <w:r w:rsidRPr="79927EA4">
        <w:rPr>
          <w:rFonts w:eastAsia="Times New Roman"/>
          <w:i/>
          <w:iCs/>
          <w:spacing w:val="-5"/>
        </w:rPr>
        <w:t xml:space="preserve">Loi sur l’immigration </w:t>
      </w:r>
      <w:r w:rsidRPr="00A627C4">
        <w:rPr>
          <w:rFonts w:eastAsia="Times New Roman"/>
          <w:spacing w:val="-5"/>
        </w:rPr>
        <w:t>de 1985 dans la jurisprudence antérieure et cherchant le sens commun entre la version française et anglaise de l’alinéa 34</w:t>
      </w:r>
      <w:r w:rsidR="00A16B57">
        <w:rPr>
          <w:rFonts w:eastAsia="Times New Roman"/>
          <w:spacing w:val="-5"/>
        </w:rPr>
        <w:t xml:space="preserve"> </w:t>
      </w:r>
      <w:r w:rsidRPr="00A627C4">
        <w:rPr>
          <w:rFonts w:eastAsia="Times New Roman"/>
          <w:spacing w:val="-5"/>
        </w:rPr>
        <w:t xml:space="preserve">(1) b) de la LIPR, conclut que le sens à retenir est celui du sens ordinaire de la version française, et que celui-ci ne désigne pas </w:t>
      </w:r>
      <w:r w:rsidR="53DEA419" w:rsidRPr="00A627C4">
        <w:rPr>
          <w:rFonts w:eastAsia="Times New Roman"/>
          <w:spacing w:val="-5"/>
        </w:rPr>
        <w:t xml:space="preserve">uniquement </w:t>
      </w:r>
      <w:r w:rsidRPr="00A627C4">
        <w:rPr>
          <w:rFonts w:eastAsia="Times New Roman"/>
          <w:spacing w:val="-5"/>
        </w:rPr>
        <w:t>«</w:t>
      </w:r>
      <w:r w:rsidR="00A16B57">
        <w:rPr>
          <w:rFonts w:eastAsia="Times New Roman"/>
          <w:spacing w:val="-5"/>
        </w:rPr>
        <w:t> </w:t>
      </w:r>
      <w:r w:rsidRPr="00A627C4">
        <w:rPr>
          <w:rFonts w:eastAsia="Times New Roman"/>
          <w:spacing w:val="-5"/>
        </w:rPr>
        <w:t>des actes illicites ou des actes posés à des fins détournées</w:t>
      </w:r>
      <w:r w:rsidR="00A16B57">
        <w:rPr>
          <w:rFonts w:eastAsia="Times New Roman"/>
          <w:spacing w:val="-5"/>
        </w:rPr>
        <w:t> </w:t>
      </w:r>
      <w:r w:rsidRPr="00A627C4">
        <w:rPr>
          <w:rFonts w:eastAsia="Times New Roman"/>
          <w:spacing w:val="-5"/>
        </w:rPr>
        <w:t>»</w:t>
      </w:r>
      <w:r w:rsidR="000C5913" w:rsidRPr="00A627C4">
        <w:rPr>
          <w:rStyle w:val="FootnoteReference"/>
          <w:rFonts w:eastAsia="Times New Roman"/>
          <w:spacing w:val="-5"/>
        </w:rPr>
        <w:footnoteReference w:id="52"/>
      </w:r>
      <w:r w:rsidRPr="00A627C4">
        <w:rPr>
          <w:rFonts w:eastAsia="Times New Roman"/>
          <w:spacing w:val="-5"/>
        </w:rPr>
        <w:t>. Dans son interprétation de l’alinéa 34</w:t>
      </w:r>
      <w:r w:rsidR="00A16B57">
        <w:rPr>
          <w:rFonts w:eastAsia="Times New Roman"/>
          <w:spacing w:val="-5"/>
        </w:rPr>
        <w:t xml:space="preserve"> </w:t>
      </w:r>
      <w:r w:rsidRPr="00A627C4">
        <w:rPr>
          <w:rFonts w:eastAsia="Times New Roman"/>
          <w:spacing w:val="-5"/>
        </w:rPr>
        <w:t>(1) b) de la LIPR, la CAF a surtout cherché à répondre à la question de savoir si les caractéristiques du régime qui était renversé par la force importai</w:t>
      </w:r>
      <w:r w:rsidR="00A16B57">
        <w:rPr>
          <w:rFonts w:eastAsia="Times New Roman"/>
          <w:spacing w:val="-5"/>
        </w:rPr>
        <w:t>en</w:t>
      </w:r>
      <w:r w:rsidRPr="00A627C4">
        <w:rPr>
          <w:rFonts w:eastAsia="Times New Roman"/>
          <w:spacing w:val="-5"/>
        </w:rPr>
        <w:t>t. En ce sens, elle a conclu que la disposition devait avoir une interprétation large, qui englobe les régimes qui ne sont pas «</w:t>
      </w:r>
      <w:r w:rsidR="00A16B57">
        <w:rPr>
          <w:rFonts w:eastAsia="Times New Roman"/>
          <w:spacing w:val="-5"/>
        </w:rPr>
        <w:t> </w:t>
      </w:r>
      <w:r w:rsidRPr="00A627C4">
        <w:rPr>
          <w:rFonts w:eastAsia="Times New Roman"/>
          <w:spacing w:val="-5"/>
        </w:rPr>
        <w:t>démocratiquement élu</w:t>
      </w:r>
      <w:r w:rsidR="00A16B57">
        <w:rPr>
          <w:rFonts w:eastAsia="Times New Roman"/>
          <w:spacing w:val="-5"/>
        </w:rPr>
        <w:t> </w:t>
      </w:r>
      <w:r w:rsidRPr="00A627C4">
        <w:rPr>
          <w:rFonts w:eastAsia="Times New Roman"/>
          <w:spacing w:val="-5"/>
        </w:rPr>
        <w:t>»</w:t>
      </w:r>
      <w:r w:rsidR="000C5913" w:rsidRPr="00A627C4">
        <w:rPr>
          <w:rStyle w:val="FootnoteReference"/>
          <w:rFonts w:eastAsia="Times New Roman"/>
          <w:spacing w:val="-5"/>
        </w:rPr>
        <w:footnoteReference w:id="53"/>
      </w:r>
      <w:r w:rsidRPr="00A627C4">
        <w:rPr>
          <w:rFonts w:eastAsia="Times New Roman"/>
          <w:spacing w:val="-5"/>
        </w:rPr>
        <w:t>.</w:t>
      </w:r>
    </w:p>
    <w:p w14:paraId="3C1E0AC8" w14:textId="108A5030" w:rsidR="000C5913" w:rsidRPr="00A627C4" w:rsidRDefault="10F90251"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De cet historique jurisprudentiel, il est intéressant de souligner le constat du juge Diner, de la cour fédérale, dans l’affaire </w:t>
      </w:r>
      <w:r w:rsidRPr="79927EA4">
        <w:rPr>
          <w:rFonts w:eastAsia="Times New Roman"/>
          <w:i/>
          <w:iCs/>
          <w:spacing w:val="-5"/>
        </w:rPr>
        <w:t>Maqsudi</w:t>
      </w:r>
      <w:r w:rsidR="420877ED" w:rsidRPr="79927EA4">
        <w:rPr>
          <w:rFonts w:eastAsia="Times New Roman"/>
          <w:i/>
          <w:iCs/>
          <w:spacing w:val="-5"/>
        </w:rPr>
        <w:t xml:space="preserve">, </w:t>
      </w:r>
      <w:r w:rsidR="420877ED" w:rsidRPr="00A627C4">
        <w:rPr>
          <w:rFonts w:eastAsia="Times New Roman"/>
          <w:spacing w:val="-5"/>
        </w:rPr>
        <w:t xml:space="preserve">qui reconnaît </w:t>
      </w:r>
      <w:r w:rsidR="0FCC3B19" w:rsidRPr="00A627C4">
        <w:rPr>
          <w:rFonts w:eastAsia="Times New Roman"/>
          <w:spacing w:val="-5"/>
        </w:rPr>
        <w:t>que le terme «</w:t>
      </w:r>
      <w:r w:rsidR="00A16B57">
        <w:rPr>
          <w:rFonts w:eastAsia="Times New Roman"/>
          <w:spacing w:val="-5"/>
        </w:rPr>
        <w:t> </w:t>
      </w:r>
      <w:r w:rsidR="0FCC3B19" w:rsidRPr="00A627C4">
        <w:rPr>
          <w:rFonts w:eastAsia="Times New Roman"/>
          <w:spacing w:val="-5"/>
        </w:rPr>
        <w:t>renversement</w:t>
      </w:r>
      <w:r w:rsidR="00A16B57">
        <w:rPr>
          <w:rFonts w:eastAsia="Times New Roman"/>
          <w:spacing w:val="-5"/>
        </w:rPr>
        <w:t> </w:t>
      </w:r>
      <w:r w:rsidR="0FCC3B19" w:rsidRPr="00A627C4">
        <w:rPr>
          <w:rFonts w:eastAsia="Times New Roman"/>
          <w:spacing w:val="-5"/>
        </w:rPr>
        <w:t>» n’est pas «</w:t>
      </w:r>
      <w:r w:rsidR="00A16B57">
        <w:rPr>
          <w:rFonts w:eastAsia="Times New Roman"/>
          <w:spacing w:val="-5"/>
        </w:rPr>
        <w:t> </w:t>
      </w:r>
      <w:r w:rsidR="0FCC3B19" w:rsidRPr="00A627C4">
        <w:rPr>
          <w:rFonts w:eastAsia="Times New Roman"/>
          <w:spacing w:val="-5"/>
        </w:rPr>
        <w:t>défini dans le contexte de la loi et que des précisions supplémentaires pourraient être nécessaires dans d’autres contextes</w:t>
      </w:r>
      <w:r w:rsidR="00A16B57">
        <w:rPr>
          <w:rFonts w:eastAsia="Times New Roman"/>
          <w:spacing w:val="-5"/>
        </w:rPr>
        <w:t> </w:t>
      </w:r>
      <w:r w:rsidR="0FCC3B19" w:rsidRPr="00A627C4">
        <w:rPr>
          <w:rFonts w:eastAsia="Times New Roman"/>
          <w:spacing w:val="-5"/>
        </w:rPr>
        <w:t>»</w:t>
      </w:r>
      <w:r w:rsidR="00666DD9" w:rsidRPr="00A627C4">
        <w:rPr>
          <w:rStyle w:val="FootnoteReference"/>
          <w:rFonts w:eastAsia="Times New Roman"/>
          <w:spacing w:val="-5"/>
        </w:rPr>
        <w:footnoteReference w:id="54"/>
      </w:r>
      <w:r w:rsidR="0FCC3B19" w:rsidRPr="00A627C4">
        <w:rPr>
          <w:rFonts w:eastAsia="Times New Roman"/>
          <w:spacing w:val="-5"/>
        </w:rPr>
        <w:t>. Néanmoins, bien que ce</w:t>
      </w:r>
      <w:r w:rsidR="466F9A7E" w:rsidRPr="00A627C4">
        <w:rPr>
          <w:rFonts w:eastAsia="Times New Roman"/>
          <w:spacing w:val="-5"/>
        </w:rPr>
        <w:t xml:space="preserve">la puisse avoir des conséquences absurdes, il se sent lié par l’interprétation trop large de l’arrêt </w:t>
      </w:r>
      <w:r w:rsidR="466F9A7E" w:rsidRPr="79927EA4">
        <w:rPr>
          <w:rFonts w:eastAsia="Times New Roman"/>
          <w:i/>
          <w:iCs/>
          <w:spacing w:val="-5"/>
        </w:rPr>
        <w:t>Najafi</w:t>
      </w:r>
      <w:r w:rsidR="008938C9" w:rsidRPr="00A627C4">
        <w:rPr>
          <w:rStyle w:val="FootnoteReference"/>
          <w:rFonts w:eastAsia="Times New Roman"/>
          <w:spacing w:val="-5"/>
        </w:rPr>
        <w:footnoteReference w:id="55"/>
      </w:r>
      <w:r w:rsidR="364A39C1" w:rsidRPr="79927EA4">
        <w:rPr>
          <w:rFonts w:eastAsia="Times New Roman"/>
          <w:i/>
          <w:iCs/>
          <w:spacing w:val="-5"/>
        </w:rPr>
        <w:t>.</w:t>
      </w:r>
    </w:p>
    <w:p w14:paraId="36485A7D" w14:textId="24C200EE" w:rsidR="000C5913" w:rsidRPr="00A627C4" w:rsidRDefault="10F90251"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Ainsi, on constate que l’interprétation du sens ordinaire de la disposition, en tenant compte de son caractère bilingue, ainsi que le contexte interne de la loi ne permettent pas d’écarter toute ambiguïté.</w:t>
      </w:r>
      <w:r w:rsidR="024A2826" w:rsidRPr="00A627C4">
        <w:rPr>
          <w:rFonts w:eastAsia="Times New Roman"/>
          <w:spacing w:val="-5"/>
        </w:rPr>
        <w:t xml:space="preserve"> La CAF, dans l’affaire </w:t>
      </w:r>
      <w:r w:rsidR="024A2826" w:rsidRPr="79927EA4">
        <w:rPr>
          <w:rFonts w:eastAsia="Times New Roman"/>
          <w:i/>
          <w:iCs/>
          <w:spacing w:val="-5"/>
        </w:rPr>
        <w:t xml:space="preserve">Najafi, </w:t>
      </w:r>
      <w:r w:rsidR="024A2826" w:rsidRPr="00A627C4">
        <w:rPr>
          <w:rFonts w:eastAsia="Times New Roman"/>
          <w:spacing w:val="-5"/>
        </w:rPr>
        <w:t>fait fi de l’ambiguïté et adopte une interprétation large de la disposition</w:t>
      </w:r>
      <w:r w:rsidR="1C5AD33E" w:rsidRPr="00A627C4">
        <w:rPr>
          <w:rFonts w:eastAsia="Times New Roman"/>
          <w:spacing w:val="-5"/>
        </w:rPr>
        <w:t>, af</w:t>
      </w:r>
      <w:r w:rsidR="5933103A" w:rsidRPr="00A627C4">
        <w:rPr>
          <w:rFonts w:eastAsia="Times New Roman"/>
          <w:spacing w:val="-5"/>
        </w:rPr>
        <w:t>in de trancher que le gouvernement renversé n’a pas à être «</w:t>
      </w:r>
      <w:r w:rsidR="00A16B57">
        <w:rPr>
          <w:rFonts w:eastAsia="Times New Roman"/>
          <w:spacing w:val="-5"/>
        </w:rPr>
        <w:t> </w:t>
      </w:r>
      <w:r w:rsidR="5933103A" w:rsidRPr="00A627C4">
        <w:rPr>
          <w:rFonts w:eastAsia="Times New Roman"/>
          <w:spacing w:val="-5"/>
        </w:rPr>
        <w:t>démocratiquement élu</w:t>
      </w:r>
      <w:r w:rsidR="00A16B57">
        <w:rPr>
          <w:rFonts w:eastAsia="Times New Roman"/>
          <w:spacing w:val="-5"/>
        </w:rPr>
        <w:t> </w:t>
      </w:r>
      <w:r w:rsidR="5933103A" w:rsidRPr="00A627C4">
        <w:rPr>
          <w:rFonts w:eastAsia="Times New Roman"/>
          <w:spacing w:val="-5"/>
        </w:rPr>
        <w:t>»</w:t>
      </w:r>
      <w:r w:rsidR="00945362" w:rsidRPr="00A627C4">
        <w:rPr>
          <w:rStyle w:val="FootnoteReference"/>
          <w:rFonts w:eastAsia="Times New Roman"/>
          <w:spacing w:val="-5"/>
        </w:rPr>
        <w:footnoteReference w:id="56"/>
      </w:r>
      <w:r w:rsidR="5933103A" w:rsidRPr="00A627C4">
        <w:rPr>
          <w:rFonts w:eastAsia="Times New Roman"/>
          <w:spacing w:val="-5"/>
        </w:rPr>
        <w:t xml:space="preserve">. Or, </w:t>
      </w:r>
      <w:r w:rsidR="6D36275E" w:rsidRPr="00A627C4">
        <w:rPr>
          <w:rFonts w:eastAsia="Times New Roman"/>
          <w:spacing w:val="-5"/>
        </w:rPr>
        <w:t xml:space="preserve">la situation de </w:t>
      </w:r>
      <w:r w:rsidR="599C0106" w:rsidRPr="00A627C4">
        <w:rPr>
          <w:rFonts w:eastAsia="Times New Roman"/>
          <w:spacing w:val="-5"/>
        </w:rPr>
        <w:t>M</w:t>
      </w:r>
      <w:r w:rsidR="6D36275E" w:rsidRPr="00A627C4">
        <w:rPr>
          <w:rFonts w:eastAsia="Times New Roman"/>
          <w:spacing w:val="-5"/>
        </w:rPr>
        <w:t>.</w:t>
      </w:r>
      <w:r w:rsidR="00A16B57">
        <w:rPr>
          <w:rFonts w:eastAsia="Times New Roman"/>
          <w:spacing w:val="-5"/>
        </w:rPr>
        <w:t> </w:t>
      </w:r>
      <w:r w:rsidR="6D36275E" w:rsidRPr="00A627C4">
        <w:rPr>
          <w:rFonts w:eastAsia="Times New Roman"/>
          <w:spacing w:val="-5"/>
        </w:rPr>
        <w:t>Chowdhury diffère</w:t>
      </w:r>
      <w:r w:rsidR="51485ACE" w:rsidRPr="00A627C4">
        <w:rPr>
          <w:rFonts w:eastAsia="Times New Roman"/>
          <w:spacing w:val="-5"/>
        </w:rPr>
        <w:t xml:space="preserve"> : </w:t>
      </w:r>
      <w:r w:rsidR="6868852D" w:rsidRPr="00A627C4">
        <w:rPr>
          <w:rFonts w:eastAsia="Times New Roman"/>
          <w:spacing w:val="-5"/>
        </w:rPr>
        <w:t>la question n’est pas de savoir si le fait que le gouvernement renversé soit «</w:t>
      </w:r>
      <w:r w:rsidR="00A16B57">
        <w:rPr>
          <w:rFonts w:eastAsia="Times New Roman"/>
          <w:spacing w:val="-5"/>
        </w:rPr>
        <w:t> </w:t>
      </w:r>
      <w:r w:rsidR="6868852D" w:rsidRPr="00A627C4">
        <w:rPr>
          <w:rFonts w:eastAsia="Times New Roman"/>
          <w:spacing w:val="-5"/>
        </w:rPr>
        <w:t>démocratiquement élu</w:t>
      </w:r>
      <w:r w:rsidR="00A16B57">
        <w:rPr>
          <w:rFonts w:eastAsia="Times New Roman"/>
          <w:spacing w:val="-5"/>
        </w:rPr>
        <w:t> </w:t>
      </w:r>
      <w:r w:rsidR="2046B162" w:rsidRPr="00A627C4">
        <w:rPr>
          <w:rFonts w:eastAsia="Times New Roman"/>
          <w:spacing w:val="-5"/>
        </w:rPr>
        <w:t>»</w:t>
      </w:r>
      <w:r w:rsidR="6868852D" w:rsidRPr="00A627C4">
        <w:rPr>
          <w:rFonts w:eastAsia="Times New Roman"/>
          <w:spacing w:val="-5"/>
        </w:rPr>
        <w:t xml:space="preserve"> a de l’importance, mais plutôt</w:t>
      </w:r>
      <w:r w:rsidR="5288DEC3" w:rsidRPr="00A627C4">
        <w:rPr>
          <w:rFonts w:eastAsia="Times New Roman"/>
          <w:spacing w:val="-5"/>
        </w:rPr>
        <w:t xml:space="preserve"> si le fait que l’organisme </w:t>
      </w:r>
      <w:r w:rsidR="5DF22DAB" w:rsidRPr="00A627C4">
        <w:rPr>
          <w:rFonts w:eastAsia="Times New Roman"/>
          <w:spacing w:val="-5"/>
        </w:rPr>
        <w:t>à qui on reproche les actes soit un parti politique légitime et démocratique</w:t>
      </w:r>
      <w:r w:rsidR="2046B162" w:rsidRPr="00A627C4">
        <w:rPr>
          <w:rFonts w:eastAsia="Times New Roman"/>
          <w:spacing w:val="-5"/>
        </w:rPr>
        <w:t xml:space="preserve"> a de l’importance.</w:t>
      </w:r>
      <w:r w:rsidR="413FBDB7" w:rsidRPr="00A627C4">
        <w:rPr>
          <w:rFonts w:eastAsia="Times New Roman"/>
          <w:spacing w:val="-5"/>
        </w:rPr>
        <w:t xml:space="preserve"> </w:t>
      </w:r>
      <w:r w:rsidR="237FEB15" w:rsidRPr="00A627C4">
        <w:rPr>
          <w:rFonts w:eastAsia="Times New Roman"/>
          <w:spacing w:val="-5"/>
        </w:rPr>
        <w:t>Comme nous verrons aux sections</w:t>
      </w:r>
      <w:r w:rsidR="00A16B57">
        <w:rPr>
          <w:rFonts w:eastAsia="Times New Roman"/>
          <w:spacing w:val="-5"/>
        </w:rPr>
        <w:t> </w:t>
      </w:r>
      <w:r w:rsidR="45D2AA7C" w:rsidRPr="00A627C4">
        <w:rPr>
          <w:rFonts w:eastAsia="Times New Roman"/>
          <w:spacing w:val="-5"/>
        </w:rPr>
        <w:t xml:space="preserve">2.2 </w:t>
      </w:r>
      <w:r w:rsidR="237FEB15" w:rsidRPr="00A627C4">
        <w:rPr>
          <w:rFonts w:eastAsia="Times New Roman"/>
          <w:spacing w:val="-5"/>
        </w:rPr>
        <w:t xml:space="preserve">et </w:t>
      </w:r>
      <w:r w:rsidR="45D2AA7C" w:rsidRPr="00A627C4">
        <w:rPr>
          <w:rFonts w:eastAsia="Times New Roman"/>
          <w:spacing w:val="-5"/>
        </w:rPr>
        <w:t>2.3</w:t>
      </w:r>
      <w:r w:rsidR="237FEB15" w:rsidRPr="00A627C4">
        <w:rPr>
          <w:rFonts w:eastAsia="Times New Roman"/>
          <w:spacing w:val="-5"/>
        </w:rPr>
        <w:t xml:space="preserve">, la juge Jagger </w:t>
      </w:r>
      <w:r w:rsidR="0265DBD3" w:rsidRPr="00A627C4">
        <w:rPr>
          <w:rFonts w:eastAsia="Times New Roman"/>
          <w:spacing w:val="-5"/>
        </w:rPr>
        <w:t xml:space="preserve">a </w:t>
      </w:r>
      <w:r w:rsidR="732C1CFE" w:rsidRPr="00A627C4">
        <w:rPr>
          <w:rFonts w:eastAsia="Times New Roman"/>
          <w:spacing w:val="-5"/>
        </w:rPr>
        <w:t>conclu avec raison</w:t>
      </w:r>
      <w:r w:rsidR="6C27CD56" w:rsidRPr="00A627C4">
        <w:rPr>
          <w:rFonts w:eastAsia="Times New Roman"/>
          <w:spacing w:val="-5"/>
        </w:rPr>
        <w:t xml:space="preserve"> qu’il s’agit </w:t>
      </w:r>
      <w:r w:rsidR="5152C3DB" w:rsidRPr="00A627C4">
        <w:rPr>
          <w:rFonts w:eastAsia="Times New Roman"/>
          <w:spacing w:val="-5"/>
        </w:rPr>
        <w:t>d’un élémen</w:t>
      </w:r>
      <w:r w:rsidR="39738B49" w:rsidRPr="00A627C4">
        <w:rPr>
          <w:rFonts w:eastAsia="Times New Roman"/>
          <w:spacing w:val="-5"/>
        </w:rPr>
        <w:t>t crucial.</w:t>
      </w:r>
      <w:r w:rsidR="2046B162" w:rsidRPr="00A627C4">
        <w:rPr>
          <w:rFonts w:eastAsia="Times New Roman"/>
          <w:spacing w:val="-5"/>
        </w:rPr>
        <w:t xml:space="preserve"> </w:t>
      </w:r>
      <w:r w:rsidR="3ACE545F" w:rsidRPr="00A627C4">
        <w:rPr>
          <w:rFonts w:eastAsia="Times New Roman"/>
          <w:spacing w:val="-5"/>
        </w:rPr>
        <w:t>C</w:t>
      </w:r>
      <w:r w:rsidRPr="00A627C4">
        <w:rPr>
          <w:rFonts w:eastAsia="Times New Roman"/>
          <w:spacing w:val="-5"/>
        </w:rPr>
        <w:t xml:space="preserve">ontrairement au juge Diner, la cour de la couronne n’est pas liée par l’interprétation de la CAF dans l’arrêt </w:t>
      </w:r>
      <w:r w:rsidRPr="79927EA4">
        <w:rPr>
          <w:rFonts w:eastAsia="Times New Roman"/>
          <w:i/>
          <w:iCs/>
          <w:spacing w:val="-5"/>
        </w:rPr>
        <w:t>Najafi</w:t>
      </w:r>
      <w:r w:rsidR="49F6CCFD" w:rsidRPr="79927EA4">
        <w:rPr>
          <w:rFonts w:eastAsia="Times New Roman"/>
          <w:i/>
          <w:iCs/>
          <w:spacing w:val="-5"/>
        </w:rPr>
        <w:t xml:space="preserve">, </w:t>
      </w:r>
      <w:r w:rsidR="49F6CCFD" w:rsidRPr="00A627C4">
        <w:rPr>
          <w:rFonts w:eastAsia="Times New Roman"/>
          <w:spacing w:val="-5"/>
        </w:rPr>
        <w:t>et devrait l’écarter</w:t>
      </w:r>
      <w:r w:rsidRPr="79927EA4">
        <w:rPr>
          <w:rFonts w:eastAsia="Times New Roman"/>
          <w:i/>
          <w:iCs/>
          <w:spacing w:val="-5"/>
        </w:rPr>
        <w:t xml:space="preserve">. </w:t>
      </w:r>
    </w:p>
    <w:p w14:paraId="56DB6F35" w14:textId="5115B195" w:rsidR="001119EE" w:rsidRPr="00A627C4" w:rsidRDefault="001119EE" w:rsidP="006025E0">
      <w:pPr>
        <w:pStyle w:val="ListParagraph"/>
        <w:numPr>
          <w:ilvl w:val="1"/>
          <w:numId w:val="11"/>
        </w:numPr>
        <w:rPr>
          <w:rFonts w:eastAsia="Times New Roman"/>
          <w:b/>
          <w:bCs/>
          <w:i/>
          <w:iCs/>
          <w:spacing w:val="-5"/>
        </w:rPr>
      </w:pPr>
      <w:r w:rsidRPr="00A627C4">
        <w:rPr>
          <w:rFonts w:eastAsia="Times New Roman"/>
          <w:b/>
          <w:bCs/>
          <w:spacing w:val="-5"/>
        </w:rPr>
        <w:t xml:space="preserve">La conformité à la </w:t>
      </w:r>
      <w:r w:rsidRPr="00A627C4">
        <w:rPr>
          <w:rFonts w:eastAsia="Times New Roman"/>
          <w:b/>
          <w:bCs/>
          <w:i/>
          <w:iCs/>
          <w:spacing w:val="-5"/>
        </w:rPr>
        <w:t>Charte canadienne des droits et libertés</w:t>
      </w:r>
    </w:p>
    <w:p w14:paraId="5A62D2A7" w14:textId="5E3B33D2" w:rsidR="001119EE" w:rsidRPr="00A627C4" w:rsidRDefault="2FFA1886"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Comme le rappelle la </w:t>
      </w:r>
      <w:r w:rsidR="5E44CB93" w:rsidRPr="00A627C4">
        <w:rPr>
          <w:rFonts w:eastAsia="Times New Roman"/>
          <w:spacing w:val="-5"/>
        </w:rPr>
        <w:t>CSC</w:t>
      </w:r>
      <w:r w:rsidRPr="00A627C4">
        <w:rPr>
          <w:rFonts w:eastAsia="Times New Roman"/>
          <w:spacing w:val="-5"/>
        </w:rPr>
        <w:t xml:space="preserve"> dans l’arrêt </w:t>
      </w:r>
      <w:r w:rsidRPr="42082F6A">
        <w:rPr>
          <w:rFonts w:eastAsia="Times New Roman"/>
          <w:i/>
          <w:iCs/>
          <w:spacing w:val="-5"/>
        </w:rPr>
        <w:t xml:space="preserve">Bell ExpressVu, </w:t>
      </w:r>
      <w:r w:rsidRPr="00A627C4">
        <w:rPr>
          <w:rFonts w:eastAsia="Times New Roman"/>
          <w:spacing w:val="-5"/>
        </w:rPr>
        <w:t>le «</w:t>
      </w:r>
      <w:r w:rsidR="00A16B57">
        <w:rPr>
          <w:rFonts w:eastAsia="Times New Roman"/>
          <w:spacing w:val="-5"/>
        </w:rPr>
        <w:t> </w:t>
      </w:r>
      <w:r w:rsidRPr="00A627C4">
        <w:rPr>
          <w:rFonts w:eastAsia="Times New Roman"/>
          <w:spacing w:val="-5"/>
        </w:rPr>
        <w:t>principe d’interprétation fondé sur le respect des </w:t>
      </w:r>
      <w:r w:rsidR="00A16B57">
        <w:rPr>
          <w:rFonts w:eastAsia="Times New Roman"/>
          <w:spacing w:val="-5"/>
        </w:rPr>
        <w:t>“</w:t>
      </w:r>
      <w:r w:rsidRPr="00A627C4">
        <w:rPr>
          <w:rFonts w:eastAsia="Times New Roman"/>
          <w:spacing w:val="-5"/>
        </w:rPr>
        <w:t>valeurs de la Charte</w:t>
      </w:r>
      <w:r w:rsidR="00A16B57">
        <w:rPr>
          <w:rFonts w:eastAsia="Times New Roman"/>
          <w:spacing w:val="-5"/>
        </w:rPr>
        <w:t>”</w:t>
      </w:r>
      <w:r w:rsidRPr="00A627C4">
        <w:rPr>
          <w:rFonts w:eastAsia="Times New Roman"/>
          <w:spacing w:val="-5"/>
        </w:rPr>
        <w:t xml:space="preserve"> […] ne s’applique uniquement qu’en cas d’ambiguïté</w:t>
      </w:r>
      <w:r w:rsidR="00A16B57">
        <w:rPr>
          <w:rFonts w:eastAsia="Times New Roman"/>
          <w:spacing w:val="-5"/>
        </w:rPr>
        <w:t> </w:t>
      </w:r>
      <w:r w:rsidRPr="00A627C4">
        <w:rPr>
          <w:rFonts w:eastAsia="Times New Roman"/>
          <w:spacing w:val="-5"/>
        </w:rPr>
        <w:t>»</w:t>
      </w:r>
      <w:r w:rsidR="001119EE" w:rsidRPr="00A627C4">
        <w:rPr>
          <w:rStyle w:val="FootnoteReference"/>
          <w:rFonts w:eastAsia="Times New Roman"/>
          <w:spacing w:val="-5"/>
        </w:rPr>
        <w:footnoteReference w:id="57"/>
      </w:r>
      <w:r w:rsidRPr="00A627C4">
        <w:rPr>
          <w:rFonts w:eastAsia="Times New Roman"/>
          <w:spacing w:val="-5"/>
        </w:rPr>
        <w:t>. Or, c’est à bon droit que la juge Jagger a posé que «</w:t>
      </w:r>
      <w:r w:rsidR="00A16B57">
        <w:rPr>
          <w:rFonts w:eastAsia="Times New Roman"/>
          <w:spacing w:val="-5"/>
        </w:rPr>
        <w:t> </w:t>
      </w:r>
      <w:r w:rsidRPr="00A627C4">
        <w:rPr>
          <w:rFonts w:eastAsia="Times New Roman"/>
          <w:spacing w:val="-5"/>
        </w:rPr>
        <w:t>les représentants canadiens ne devraient pas adopter une interprétation de l’alinéa 34</w:t>
      </w:r>
      <w:r w:rsidR="00A16B57">
        <w:rPr>
          <w:rFonts w:eastAsia="Times New Roman"/>
          <w:spacing w:val="-5"/>
        </w:rPr>
        <w:t xml:space="preserve"> </w:t>
      </w:r>
      <w:r w:rsidRPr="00A627C4">
        <w:rPr>
          <w:rFonts w:eastAsia="Times New Roman"/>
          <w:spacing w:val="-5"/>
        </w:rPr>
        <w:t>(1)</w:t>
      </w:r>
      <w:r w:rsidR="00A16B57">
        <w:rPr>
          <w:rFonts w:eastAsia="Times New Roman"/>
          <w:spacing w:val="-5"/>
        </w:rPr>
        <w:t xml:space="preserve"> </w:t>
      </w:r>
      <w:r w:rsidRPr="00A627C4">
        <w:rPr>
          <w:rFonts w:eastAsia="Times New Roman"/>
          <w:spacing w:val="-5"/>
        </w:rPr>
        <w:t>b)</w:t>
      </w:r>
      <w:r w:rsidR="0CDADC52" w:rsidRPr="00A627C4">
        <w:rPr>
          <w:rFonts w:eastAsia="Times New Roman"/>
          <w:spacing w:val="-5"/>
        </w:rPr>
        <w:t xml:space="preserve"> de la LIPR</w:t>
      </w:r>
      <w:r w:rsidRPr="00A627C4">
        <w:rPr>
          <w:rFonts w:eastAsia="Times New Roman"/>
          <w:spacing w:val="-5"/>
        </w:rPr>
        <w:t xml:space="preserve"> qui, si elle s’appliquait aux partis politiques et à leurs membres au Canada, pourrait porter atteinte aux droits garantis par l’article</w:t>
      </w:r>
      <w:r w:rsidR="00A16B57">
        <w:rPr>
          <w:rFonts w:eastAsia="Times New Roman"/>
          <w:spacing w:val="-5"/>
        </w:rPr>
        <w:t> </w:t>
      </w:r>
      <w:r w:rsidRPr="00A627C4">
        <w:rPr>
          <w:rFonts w:eastAsia="Times New Roman"/>
          <w:spacing w:val="-5"/>
        </w:rPr>
        <w:t xml:space="preserve">2 de la </w:t>
      </w:r>
      <w:r w:rsidRPr="42082F6A">
        <w:rPr>
          <w:rFonts w:eastAsia="Times New Roman"/>
          <w:i/>
          <w:iCs/>
          <w:spacing w:val="-5"/>
        </w:rPr>
        <w:t>Charte</w:t>
      </w:r>
      <w:r w:rsidR="00A16B57">
        <w:rPr>
          <w:rFonts w:eastAsia="Times New Roman"/>
          <w:spacing w:val="-5"/>
        </w:rPr>
        <w:t> </w:t>
      </w:r>
      <w:r w:rsidRPr="00A627C4">
        <w:rPr>
          <w:rFonts w:eastAsia="Times New Roman"/>
          <w:spacing w:val="-5"/>
        </w:rPr>
        <w:t>»</w:t>
      </w:r>
      <w:r w:rsidR="001119EE" w:rsidRPr="00A627C4">
        <w:rPr>
          <w:rStyle w:val="FootnoteReference"/>
          <w:rFonts w:eastAsia="Times New Roman"/>
          <w:spacing w:val="-5"/>
        </w:rPr>
        <w:footnoteReference w:id="58"/>
      </w:r>
      <w:r w:rsidR="5E00B3AD" w:rsidRPr="00A627C4">
        <w:rPr>
          <w:rFonts w:eastAsia="Times New Roman"/>
          <w:spacing w:val="-5"/>
        </w:rPr>
        <w:t>, puisqu’il y a bel et bien ambiguïté</w:t>
      </w:r>
      <w:r w:rsidR="0CDADC52" w:rsidRPr="00A627C4">
        <w:rPr>
          <w:rFonts w:eastAsia="Times New Roman"/>
          <w:spacing w:val="-5"/>
        </w:rPr>
        <w:t>, tel que posé dans la section précédente</w:t>
      </w:r>
      <w:r w:rsidRPr="00A627C4">
        <w:rPr>
          <w:rFonts w:eastAsia="Times New Roman"/>
          <w:spacing w:val="-5"/>
        </w:rPr>
        <w:t>.</w:t>
      </w:r>
      <w:r w:rsidR="5E00B3AD" w:rsidRPr="00A627C4">
        <w:rPr>
          <w:rFonts w:eastAsia="Times New Roman"/>
          <w:spacing w:val="-5"/>
        </w:rPr>
        <w:t xml:space="preserve"> </w:t>
      </w:r>
      <w:r w:rsidRPr="00A627C4">
        <w:rPr>
          <w:rFonts w:eastAsia="Times New Roman"/>
          <w:spacing w:val="-5"/>
        </w:rPr>
        <w:t xml:space="preserve"> </w:t>
      </w:r>
    </w:p>
    <w:p w14:paraId="6C5A86DE" w14:textId="6C8E5A4A" w:rsidR="00E62693" w:rsidRPr="00A627C4" w:rsidRDefault="779279BC"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La jurisprudence est claire </w:t>
      </w:r>
      <w:r w:rsidR="00A16B57">
        <w:rPr>
          <w:rFonts w:eastAsia="Times New Roman"/>
          <w:spacing w:val="-5"/>
        </w:rPr>
        <w:t>disant</w:t>
      </w:r>
      <w:r w:rsidRPr="00A627C4">
        <w:rPr>
          <w:rFonts w:eastAsia="Times New Roman"/>
          <w:spacing w:val="-5"/>
        </w:rPr>
        <w:t xml:space="preserve"> que les formes d’association et d’expression violentes ne sont pas </w:t>
      </w:r>
      <w:r w:rsidR="45B06C63" w:rsidRPr="00A627C4">
        <w:rPr>
          <w:rFonts w:eastAsia="Times New Roman"/>
          <w:spacing w:val="-5"/>
        </w:rPr>
        <w:t>couvertes par l’article</w:t>
      </w:r>
      <w:r w:rsidR="00A16B57">
        <w:rPr>
          <w:rFonts w:eastAsia="Times New Roman"/>
          <w:spacing w:val="-5"/>
        </w:rPr>
        <w:t> </w:t>
      </w:r>
      <w:r w:rsidR="45B06C63" w:rsidRPr="00A627C4">
        <w:rPr>
          <w:rFonts w:eastAsia="Times New Roman"/>
          <w:spacing w:val="-5"/>
        </w:rPr>
        <w:t xml:space="preserve">2 de la </w:t>
      </w:r>
      <w:r w:rsidR="45B06C63" w:rsidRPr="07ABB96B">
        <w:rPr>
          <w:rFonts w:eastAsia="Times New Roman"/>
          <w:i/>
          <w:iCs/>
          <w:spacing w:val="-5"/>
        </w:rPr>
        <w:t>Charte</w:t>
      </w:r>
      <w:r w:rsidR="00E14496" w:rsidRPr="07ABB96B">
        <w:rPr>
          <w:rStyle w:val="FootnoteReference"/>
          <w:rFonts w:eastAsia="Times New Roman"/>
          <w:i/>
          <w:iCs/>
          <w:spacing w:val="-5"/>
        </w:rPr>
        <w:footnoteReference w:id="59"/>
      </w:r>
      <w:r w:rsidR="45B06C63" w:rsidRPr="07ABB96B">
        <w:rPr>
          <w:rFonts w:eastAsia="Times New Roman"/>
          <w:i/>
          <w:iCs/>
          <w:spacing w:val="-5"/>
        </w:rPr>
        <w:t>.</w:t>
      </w:r>
      <w:r w:rsidR="5A55F349" w:rsidRPr="07ABB96B">
        <w:rPr>
          <w:rFonts w:eastAsia="Times New Roman"/>
          <w:i/>
          <w:iCs/>
          <w:spacing w:val="-5"/>
        </w:rPr>
        <w:t xml:space="preserve"> </w:t>
      </w:r>
      <w:r w:rsidR="4F825D0F" w:rsidRPr="00A627C4">
        <w:rPr>
          <w:rFonts w:eastAsia="Times New Roman"/>
          <w:spacing w:val="-5"/>
        </w:rPr>
        <w:t xml:space="preserve">Or, comme posé précédemment, les </w:t>
      </w:r>
      <w:r w:rsidR="4F825D0F" w:rsidRPr="07ABB96B">
        <w:rPr>
          <w:rFonts w:eastAsia="Times New Roman"/>
          <w:i/>
          <w:iCs/>
          <w:spacing w:val="-5"/>
        </w:rPr>
        <w:t>hartals</w:t>
      </w:r>
      <w:r w:rsidR="4FB44088" w:rsidRPr="07ABB96B">
        <w:rPr>
          <w:rFonts w:eastAsia="Times New Roman"/>
          <w:i/>
          <w:iCs/>
          <w:spacing w:val="-5"/>
        </w:rPr>
        <w:t xml:space="preserve"> </w:t>
      </w:r>
      <w:r w:rsidR="4FB44088" w:rsidRPr="00A627C4">
        <w:rPr>
          <w:rFonts w:eastAsia="Times New Roman"/>
          <w:spacing w:val="-5"/>
        </w:rPr>
        <w:t>et les grèves générales qui ont été lancées par le PNB</w:t>
      </w:r>
      <w:r w:rsidR="368F862B" w:rsidRPr="00A627C4">
        <w:rPr>
          <w:rFonts w:eastAsia="Times New Roman"/>
          <w:spacing w:val="-5"/>
        </w:rPr>
        <w:t xml:space="preserve"> n’entrent pas dans cette catégorie. </w:t>
      </w:r>
    </w:p>
    <w:p w14:paraId="57390C7F" w14:textId="203FDB9A" w:rsidR="0059327D" w:rsidRPr="00A627C4" w:rsidRDefault="2FFA1886" w:rsidP="0059327D">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C’est d’ailleurs le même mécanisme d’interprétation qu’emprunte le juge Mosley de la </w:t>
      </w:r>
      <w:r w:rsidR="4EE83CAB" w:rsidRPr="00A627C4">
        <w:rPr>
          <w:rFonts w:eastAsia="Times New Roman"/>
          <w:spacing w:val="-5"/>
        </w:rPr>
        <w:t>CF</w:t>
      </w:r>
      <w:r w:rsidRPr="00A627C4">
        <w:rPr>
          <w:rFonts w:eastAsia="Times New Roman"/>
          <w:spacing w:val="-5"/>
        </w:rPr>
        <w:t xml:space="preserve"> dans l’affaire </w:t>
      </w:r>
      <w:r w:rsidRPr="07ABB96B">
        <w:rPr>
          <w:rFonts w:eastAsia="Times New Roman"/>
          <w:i/>
          <w:iCs/>
          <w:spacing w:val="-5"/>
        </w:rPr>
        <w:t>A.K.</w:t>
      </w:r>
      <w:r w:rsidRPr="00A627C4">
        <w:rPr>
          <w:rFonts w:eastAsia="Times New Roman"/>
          <w:spacing w:val="-5"/>
        </w:rPr>
        <w:t>, où il est appelé à interpréter la portée de l’alinéa</w:t>
      </w:r>
      <w:r w:rsidR="00A16B57">
        <w:rPr>
          <w:rFonts w:eastAsia="Times New Roman"/>
          <w:spacing w:val="-5"/>
        </w:rPr>
        <w:t> </w:t>
      </w:r>
      <w:r w:rsidRPr="00A627C4">
        <w:rPr>
          <w:rFonts w:eastAsia="Times New Roman"/>
          <w:spacing w:val="-5"/>
        </w:rPr>
        <w:t>34</w:t>
      </w:r>
      <w:r w:rsidR="00A16B57">
        <w:rPr>
          <w:rFonts w:eastAsia="Times New Roman"/>
          <w:spacing w:val="-5"/>
        </w:rPr>
        <w:t xml:space="preserve"> </w:t>
      </w:r>
      <w:r w:rsidRPr="00A627C4">
        <w:rPr>
          <w:rFonts w:eastAsia="Times New Roman"/>
          <w:spacing w:val="-5"/>
        </w:rPr>
        <w:t>(1) c) de la LIPR :</w:t>
      </w:r>
    </w:p>
    <w:p w14:paraId="15ACEDC9" w14:textId="2AE03435" w:rsidR="0059327D" w:rsidRPr="00A627C4" w:rsidRDefault="0059327D" w:rsidP="0059327D">
      <w:pPr>
        <w:pStyle w:val="ListParagraph"/>
        <w:spacing w:after="240" w:line="240" w:lineRule="auto"/>
        <w:ind w:left="284" w:right="284"/>
        <w:jc w:val="both"/>
        <w:rPr>
          <w:rFonts w:eastAsia="Times New Roman"/>
          <w:spacing w:val="-5"/>
        </w:rPr>
      </w:pPr>
      <w:r w:rsidRPr="00A627C4">
        <w:rPr>
          <w:rFonts w:eastAsia="Times New Roman"/>
          <w:b/>
          <w:bCs/>
          <w:spacing w:val="-5"/>
        </w:rPr>
        <w:t>41</w:t>
      </w:r>
      <w:r w:rsidR="00A16B57">
        <w:rPr>
          <w:rFonts w:eastAsia="Times New Roman"/>
          <w:spacing w:val="-5"/>
        </w:rPr>
        <w:t xml:space="preserve"> </w:t>
      </w:r>
      <w:r w:rsidRPr="00A627C4">
        <w:rPr>
          <w:rFonts w:eastAsia="Times New Roman"/>
          <w:spacing w:val="-5"/>
        </w:rPr>
        <w:t>J</w:t>
      </w:r>
      <w:r w:rsidR="00A16B57">
        <w:rPr>
          <w:rFonts w:eastAsia="Times New Roman"/>
          <w:spacing w:val="-5"/>
        </w:rPr>
        <w:t>’</w:t>
      </w:r>
      <w:r w:rsidRPr="00A627C4">
        <w:rPr>
          <w:rFonts w:eastAsia="Times New Roman"/>
          <w:spacing w:val="-5"/>
        </w:rPr>
        <w:t>ai passablement de difficultés à accepter la notion qu</w:t>
      </w:r>
      <w:r w:rsidR="00A16B57">
        <w:rPr>
          <w:rFonts w:eastAsia="Times New Roman"/>
          <w:spacing w:val="-5"/>
        </w:rPr>
        <w:t>’</w:t>
      </w:r>
      <w:r w:rsidRPr="00A627C4">
        <w:rPr>
          <w:rFonts w:eastAsia="Times New Roman"/>
          <w:spacing w:val="-5"/>
        </w:rPr>
        <w:t>un appel à la grève générale par un parti politique en vue d</w:t>
      </w:r>
      <w:r w:rsidR="00A16B57">
        <w:rPr>
          <w:rFonts w:eastAsia="Times New Roman"/>
          <w:spacing w:val="-5"/>
        </w:rPr>
        <w:t>’</w:t>
      </w:r>
      <w:r w:rsidRPr="00A627C4">
        <w:rPr>
          <w:rFonts w:eastAsia="Times New Roman"/>
          <w:spacing w:val="-5"/>
        </w:rPr>
        <w:t>inciter le parti au pouvoir à entreprendre des mesures comme proroger le Parlement ou convoquer des élections partielles s</w:t>
      </w:r>
      <w:r w:rsidR="00A16B57">
        <w:rPr>
          <w:rFonts w:eastAsia="Times New Roman"/>
          <w:spacing w:val="-5"/>
        </w:rPr>
        <w:t>’</w:t>
      </w:r>
      <w:r w:rsidRPr="00A627C4">
        <w:rPr>
          <w:rFonts w:eastAsia="Times New Roman"/>
          <w:spacing w:val="-5"/>
        </w:rPr>
        <w:t xml:space="preserve">inscrit dans le cadre de </w:t>
      </w:r>
      <w:r w:rsidR="00A16B57">
        <w:rPr>
          <w:rFonts w:eastAsia="Times New Roman"/>
          <w:spacing w:val="-5"/>
        </w:rPr>
        <w:t>« </w:t>
      </w:r>
      <w:r w:rsidRPr="00A627C4">
        <w:rPr>
          <w:rFonts w:eastAsia="Times New Roman"/>
          <w:spacing w:val="-5"/>
        </w:rPr>
        <w:t>ce que l</w:t>
      </w:r>
      <w:r w:rsidR="00A16B57">
        <w:rPr>
          <w:rFonts w:eastAsia="Times New Roman"/>
          <w:spacing w:val="-5"/>
        </w:rPr>
        <w:t>’</w:t>
      </w:r>
      <w:r w:rsidRPr="00A627C4">
        <w:rPr>
          <w:rFonts w:eastAsia="Times New Roman"/>
          <w:spacing w:val="-5"/>
        </w:rPr>
        <w:t xml:space="preserve">on entend essentiellement par </w:t>
      </w:r>
      <w:r w:rsidR="00A16B57">
        <w:rPr>
          <w:rFonts w:eastAsia="Times New Roman"/>
          <w:spacing w:val="-5"/>
        </w:rPr>
        <w:t>“</w:t>
      </w:r>
      <w:r w:rsidRPr="00A627C4">
        <w:rPr>
          <w:rFonts w:eastAsia="Times New Roman"/>
          <w:spacing w:val="-5"/>
        </w:rPr>
        <w:t>terrorisme</w:t>
      </w:r>
      <w:r w:rsidR="00A16B57">
        <w:rPr>
          <w:rFonts w:eastAsia="Times New Roman"/>
          <w:spacing w:val="-5"/>
        </w:rPr>
        <w:t>”</w:t>
      </w:r>
      <w:r w:rsidRPr="00A627C4">
        <w:rPr>
          <w:rFonts w:eastAsia="Times New Roman"/>
          <w:spacing w:val="-5"/>
        </w:rPr>
        <w:t xml:space="preserve"> à l</w:t>
      </w:r>
      <w:r w:rsidR="00A16B57">
        <w:rPr>
          <w:rFonts w:eastAsia="Times New Roman"/>
          <w:spacing w:val="-5"/>
        </w:rPr>
        <w:t>’</w:t>
      </w:r>
      <w:r w:rsidRPr="00A627C4">
        <w:rPr>
          <w:rFonts w:eastAsia="Times New Roman"/>
          <w:spacing w:val="-5"/>
        </w:rPr>
        <w:t>échelle internationale</w:t>
      </w:r>
      <w:r w:rsidR="00A16B57">
        <w:rPr>
          <w:rFonts w:eastAsia="Times New Roman"/>
          <w:spacing w:val="-5"/>
        </w:rPr>
        <w:t> »</w:t>
      </w:r>
      <w:r w:rsidRPr="00A627C4">
        <w:rPr>
          <w:rFonts w:eastAsia="Times New Roman"/>
          <w:spacing w:val="-5"/>
        </w:rPr>
        <w:t>. Il n</w:t>
      </w:r>
      <w:r w:rsidR="00A16B57">
        <w:rPr>
          <w:rFonts w:eastAsia="Times New Roman"/>
          <w:spacing w:val="-5"/>
        </w:rPr>
        <w:t>’</w:t>
      </w:r>
      <w:r w:rsidRPr="00A627C4">
        <w:rPr>
          <w:rFonts w:eastAsia="Times New Roman"/>
          <w:spacing w:val="-5"/>
        </w:rPr>
        <w:t>est pas exagéré de prétendre, comme l</w:t>
      </w:r>
      <w:r w:rsidR="00A16B57">
        <w:rPr>
          <w:rFonts w:eastAsia="Times New Roman"/>
          <w:spacing w:val="-5"/>
        </w:rPr>
        <w:t>’</w:t>
      </w:r>
      <w:r w:rsidRPr="00A627C4">
        <w:rPr>
          <w:rFonts w:eastAsia="Times New Roman"/>
          <w:spacing w:val="-5"/>
        </w:rPr>
        <w:t>a fait le demandeur dans la présente instance que l</w:t>
      </w:r>
      <w:r w:rsidR="00A16B57">
        <w:rPr>
          <w:rFonts w:eastAsia="Times New Roman"/>
          <w:spacing w:val="-5"/>
        </w:rPr>
        <w:t>’</w:t>
      </w:r>
      <w:r w:rsidRPr="00A627C4">
        <w:rPr>
          <w:rFonts w:eastAsia="Times New Roman"/>
          <w:spacing w:val="-5"/>
        </w:rPr>
        <w:t>interprétation de la loi par le défendeur pourrait comprendre des activités politiques qui, si elles étaient menées au Canada, seraient protégées en vertu de l</w:t>
      </w:r>
      <w:r w:rsidR="00A16B57">
        <w:rPr>
          <w:rFonts w:eastAsia="Times New Roman"/>
          <w:spacing w:val="-5"/>
        </w:rPr>
        <w:t>’</w:t>
      </w:r>
      <w:r w:rsidRPr="00A627C4">
        <w:rPr>
          <w:rFonts w:eastAsia="Times New Roman"/>
          <w:spacing w:val="-5"/>
        </w:rPr>
        <w:t>article</w:t>
      </w:r>
      <w:r w:rsidR="00A16B57">
        <w:rPr>
          <w:rFonts w:eastAsia="Times New Roman"/>
          <w:spacing w:val="-5"/>
        </w:rPr>
        <w:t> </w:t>
      </w:r>
      <w:r w:rsidRPr="00A627C4">
        <w:rPr>
          <w:rFonts w:eastAsia="Times New Roman"/>
          <w:spacing w:val="-5"/>
        </w:rPr>
        <w:t>2 de la </w:t>
      </w:r>
      <w:r w:rsidRPr="58FF2482">
        <w:rPr>
          <w:rFonts w:eastAsia="Times New Roman"/>
          <w:i/>
          <w:iCs/>
          <w:spacing w:val="-5"/>
        </w:rPr>
        <w:t>Charte canadienne des droits et libertés</w:t>
      </w:r>
      <w:r w:rsidRPr="00A627C4">
        <w:rPr>
          <w:rFonts w:eastAsia="Times New Roman"/>
          <w:spacing w:val="-5"/>
        </w:rPr>
        <w:t>, en l</w:t>
      </w:r>
      <w:r w:rsidR="00A16B57">
        <w:rPr>
          <w:rFonts w:eastAsia="Times New Roman"/>
          <w:spacing w:val="-5"/>
        </w:rPr>
        <w:t>’</w:t>
      </w:r>
      <w:r w:rsidRPr="00A627C4">
        <w:rPr>
          <w:rFonts w:eastAsia="Times New Roman"/>
          <w:spacing w:val="-5"/>
        </w:rPr>
        <w:t>absence d</w:t>
      </w:r>
      <w:r w:rsidR="00A16B57">
        <w:rPr>
          <w:rFonts w:eastAsia="Times New Roman"/>
          <w:spacing w:val="-5"/>
        </w:rPr>
        <w:t>’</w:t>
      </w:r>
      <w:r w:rsidRPr="00A627C4">
        <w:rPr>
          <w:rFonts w:eastAsia="Times New Roman"/>
          <w:spacing w:val="-5"/>
        </w:rPr>
        <w:t>une intention d</w:t>
      </w:r>
      <w:r w:rsidR="00A16B57">
        <w:rPr>
          <w:rFonts w:eastAsia="Times New Roman"/>
          <w:spacing w:val="-5"/>
        </w:rPr>
        <w:t>’</w:t>
      </w:r>
      <w:r w:rsidRPr="00A627C4">
        <w:rPr>
          <w:rFonts w:eastAsia="Times New Roman"/>
          <w:spacing w:val="-5"/>
        </w:rPr>
        <w:t>avoir recours à la violence à des fins politiques.</w:t>
      </w:r>
      <w:r w:rsidRPr="00A627C4">
        <w:rPr>
          <w:rStyle w:val="FootnoteReference"/>
          <w:rFonts w:eastAsia="Times New Roman"/>
          <w:spacing w:val="-5"/>
        </w:rPr>
        <w:footnoteReference w:id="60"/>
      </w:r>
    </w:p>
    <w:p w14:paraId="3A012B84" w14:textId="77777777" w:rsidR="0059327D" w:rsidRPr="00A627C4" w:rsidRDefault="0059327D" w:rsidP="0059327D">
      <w:pPr>
        <w:pStyle w:val="ListParagraph"/>
        <w:spacing w:after="240" w:line="240" w:lineRule="auto"/>
        <w:ind w:left="284" w:right="284"/>
        <w:jc w:val="both"/>
        <w:rPr>
          <w:rFonts w:eastAsia="Times New Roman"/>
          <w:spacing w:val="-5"/>
        </w:rPr>
      </w:pPr>
    </w:p>
    <w:p w14:paraId="0ACAE853" w14:textId="4CD87464" w:rsidR="00E62693" w:rsidRPr="00A627C4" w:rsidRDefault="6FDD79E3" w:rsidP="00881962">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C’est donc à bon droit que la juge Jagger priorise une interprétation conforme aux valeurs de la </w:t>
      </w:r>
      <w:r w:rsidRPr="07ABB96B">
        <w:rPr>
          <w:rFonts w:eastAsia="Times New Roman"/>
          <w:i/>
          <w:iCs/>
          <w:spacing w:val="-5"/>
        </w:rPr>
        <w:t xml:space="preserve">Charte, </w:t>
      </w:r>
      <w:r w:rsidRPr="00A627C4">
        <w:rPr>
          <w:rFonts w:eastAsia="Times New Roman"/>
          <w:spacing w:val="-5"/>
        </w:rPr>
        <w:t xml:space="preserve">ce qui respecte également l’objet de la </w:t>
      </w:r>
      <w:r w:rsidR="6696A37F" w:rsidRPr="00A627C4">
        <w:rPr>
          <w:rFonts w:eastAsia="Times New Roman"/>
          <w:spacing w:val="-5"/>
        </w:rPr>
        <w:t>loi posé au so</w:t>
      </w:r>
      <w:r w:rsidR="1DCD750B" w:rsidRPr="00A627C4">
        <w:rPr>
          <w:rFonts w:eastAsia="Times New Roman"/>
          <w:spacing w:val="-5"/>
        </w:rPr>
        <w:t>u</w:t>
      </w:r>
      <w:r w:rsidR="6696A37F" w:rsidRPr="00A627C4">
        <w:rPr>
          <w:rFonts w:eastAsia="Times New Roman"/>
          <w:spacing w:val="-5"/>
        </w:rPr>
        <w:t>s-aliné</w:t>
      </w:r>
      <w:r w:rsidR="1DCD750B" w:rsidRPr="00A627C4">
        <w:rPr>
          <w:rFonts w:eastAsia="Times New Roman"/>
          <w:spacing w:val="-5"/>
        </w:rPr>
        <w:t>a</w:t>
      </w:r>
      <w:r w:rsidR="00A16B57">
        <w:rPr>
          <w:rFonts w:eastAsia="Times New Roman"/>
          <w:spacing w:val="-5"/>
        </w:rPr>
        <w:t> </w:t>
      </w:r>
      <w:r w:rsidR="6696A37F" w:rsidRPr="00A627C4">
        <w:rPr>
          <w:rFonts w:eastAsia="Times New Roman"/>
          <w:spacing w:val="-5"/>
        </w:rPr>
        <w:t>3</w:t>
      </w:r>
      <w:r w:rsidR="00A16B57">
        <w:rPr>
          <w:rFonts w:eastAsia="Times New Roman"/>
          <w:spacing w:val="-5"/>
        </w:rPr>
        <w:t xml:space="preserve"> </w:t>
      </w:r>
      <w:r w:rsidR="6696A37F" w:rsidRPr="00A627C4">
        <w:rPr>
          <w:rFonts w:eastAsia="Times New Roman"/>
          <w:spacing w:val="-5"/>
        </w:rPr>
        <w:t>(3) d) de la LIPR, tel qu’abordé dans la section</w:t>
      </w:r>
      <w:r w:rsidR="00A16B57">
        <w:rPr>
          <w:rFonts w:eastAsia="Times New Roman"/>
          <w:spacing w:val="-5"/>
        </w:rPr>
        <w:t> </w:t>
      </w:r>
      <w:r w:rsidR="6696A37F" w:rsidRPr="00A627C4">
        <w:rPr>
          <w:rFonts w:eastAsia="Times New Roman"/>
          <w:spacing w:val="-5"/>
        </w:rPr>
        <w:t xml:space="preserve">1.1 de ce mémoire. </w:t>
      </w:r>
    </w:p>
    <w:p w14:paraId="69523E46" w14:textId="2E7D7FD3" w:rsidR="00194322" w:rsidRPr="00A627C4" w:rsidRDefault="00EE2230" w:rsidP="006025E0">
      <w:pPr>
        <w:pStyle w:val="ListParagraph"/>
        <w:numPr>
          <w:ilvl w:val="1"/>
          <w:numId w:val="11"/>
        </w:numPr>
        <w:spacing w:after="240"/>
        <w:jc w:val="both"/>
        <w:rPr>
          <w:rFonts w:eastAsia="Times New Roman"/>
          <w:b/>
          <w:bCs/>
          <w:spacing w:val="-5"/>
        </w:rPr>
      </w:pPr>
      <w:r w:rsidRPr="00A627C4">
        <w:rPr>
          <w:rFonts w:eastAsia="Times New Roman"/>
          <w:b/>
          <w:bCs/>
          <w:spacing w:val="-5"/>
        </w:rPr>
        <w:t>La nécessité d’éléments de preuve clairs et convaincants</w:t>
      </w:r>
    </w:p>
    <w:p w14:paraId="3B78CD44" w14:textId="05416AF6" w:rsidR="00EE2230" w:rsidRPr="00A627C4" w:rsidRDefault="0D57396F"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Dans le même ordre d’idée, </w:t>
      </w:r>
      <w:r w:rsidR="77E089A0" w:rsidRPr="00A627C4">
        <w:rPr>
          <w:rFonts w:eastAsia="Times New Roman"/>
          <w:spacing w:val="-5"/>
        </w:rPr>
        <w:t xml:space="preserve">la juge Jagger </w:t>
      </w:r>
      <w:r w:rsidR="43874D06" w:rsidRPr="00A627C4">
        <w:rPr>
          <w:rFonts w:eastAsia="Times New Roman"/>
          <w:spacing w:val="-5"/>
        </w:rPr>
        <w:t xml:space="preserve">a eu raison </w:t>
      </w:r>
      <w:r w:rsidR="481EDA59" w:rsidRPr="00A627C4">
        <w:rPr>
          <w:rFonts w:eastAsia="Times New Roman"/>
          <w:spacing w:val="-5"/>
        </w:rPr>
        <w:t xml:space="preserve">de soulever la nécessité d’éléments de preuve clairs et convaincants </w:t>
      </w:r>
      <w:r w:rsidR="45FD2CCA" w:rsidRPr="00A627C4">
        <w:rPr>
          <w:rFonts w:eastAsia="Times New Roman"/>
          <w:spacing w:val="-5"/>
        </w:rPr>
        <w:t xml:space="preserve">que le PNB </w:t>
      </w:r>
      <w:r w:rsidR="00F97178">
        <w:rPr>
          <w:rFonts w:eastAsia="Times New Roman"/>
          <w:spacing w:val="-5"/>
        </w:rPr>
        <w:t>fû</w:t>
      </w:r>
      <w:r w:rsidR="45FD2CCA" w:rsidRPr="00A627C4">
        <w:rPr>
          <w:rFonts w:eastAsia="Times New Roman"/>
          <w:spacing w:val="-5"/>
        </w:rPr>
        <w:t xml:space="preserve">t effectivement l’instigateur ou l’auteur d’actes visant au renversement du gouvernement par la force. </w:t>
      </w:r>
      <w:r w:rsidR="6EDBAEF7" w:rsidRPr="00A627C4">
        <w:rPr>
          <w:rFonts w:eastAsia="Times New Roman"/>
          <w:spacing w:val="-5"/>
        </w:rPr>
        <w:t xml:space="preserve">Étant un parti politique légitime dans une démocratie fonctionnelle au Bangladesh, </w:t>
      </w:r>
      <w:r w:rsidR="14586951" w:rsidRPr="00A627C4">
        <w:rPr>
          <w:rFonts w:eastAsia="Times New Roman"/>
          <w:spacing w:val="-5"/>
        </w:rPr>
        <w:t>il serait absurde de présumer que les appels aux gr</w:t>
      </w:r>
      <w:r w:rsidR="7341E02F" w:rsidRPr="00A627C4">
        <w:rPr>
          <w:rFonts w:eastAsia="Times New Roman"/>
          <w:spacing w:val="-5"/>
        </w:rPr>
        <w:t>èves</w:t>
      </w:r>
      <w:r w:rsidR="37E1F93A" w:rsidRPr="00A627C4">
        <w:rPr>
          <w:rFonts w:eastAsia="Times New Roman"/>
          <w:spacing w:val="-5"/>
        </w:rPr>
        <w:t xml:space="preserve"> </w:t>
      </w:r>
      <w:r w:rsidR="53629488" w:rsidRPr="00A627C4">
        <w:rPr>
          <w:rFonts w:eastAsia="Times New Roman"/>
          <w:spacing w:val="-5"/>
        </w:rPr>
        <w:t xml:space="preserve">étaient </w:t>
      </w:r>
      <w:r w:rsidR="37E1F93A" w:rsidRPr="00A627C4">
        <w:rPr>
          <w:rFonts w:eastAsia="Times New Roman"/>
          <w:spacing w:val="-5"/>
        </w:rPr>
        <w:t>de de tels actes, plutôt que de présumer le contraire : qu’il s’agi</w:t>
      </w:r>
      <w:r w:rsidR="53629488" w:rsidRPr="00A627C4">
        <w:rPr>
          <w:rFonts w:eastAsia="Times New Roman"/>
          <w:spacing w:val="-5"/>
        </w:rPr>
        <w:t>ssait</w:t>
      </w:r>
      <w:r w:rsidR="37E1F93A" w:rsidRPr="00A627C4">
        <w:rPr>
          <w:rFonts w:eastAsia="Times New Roman"/>
          <w:spacing w:val="-5"/>
        </w:rPr>
        <w:t xml:space="preserve"> </w:t>
      </w:r>
      <w:r w:rsidR="7BAB92AC" w:rsidRPr="00A627C4">
        <w:rPr>
          <w:rFonts w:eastAsia="Times New Roman"/>
          <w:spacing w:val="-5"/>
        </w:rPr>
        <w:t>de gestes d’expression politique légitime qui ont malheureusement dégénéré</w:t>
      </w:r>
      <w:r w:rsidR="006348B0" w:rsidRPr="00A627C4">
        <w:rPr>
          <w:rStyle w:val="FootnoteReference"/>
          <w:rFonts w:eastAsia="Times New Roman"/>
          <w:spacing w:val="-5"/>
        </w:rPr>
        <w:footnoteReference w:id="61"/>
      </w:r>
      <w:r w:rsidR="7BAB92AC" w:rsidRPr="00A627C4">
        <w:rPr>
          <w:rFonts w:eastAsia="Times New Roman"/>
          <w:spacing w:val="-5"/>
        </w:rPr>
        <w:t xml:space="preserve">. </w:t>
      </w:r>
    </w:p>
    <w:p w14:paraId="6A2F10B2" w14:textId="53A41B5B" w:rsidR="0017388C" w:rsidRPr="00A627C4" w:rsidRDefault="776F1E45"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Comme le soulève judicieusement la juge Jagger, le PNB se trouve dans une situation particulière</w:t>
      </w:r>
      <w:r w:rsidR="3C14D2DB" w:rsidRPr="00A627C4">
        <w:rPr>
          <w:rFonts w:eastAsia="Times New Roman"/>
          <w:spacing w:val="-5"/>
        </w:rPr>
        <w:t xml:space="preserve"> lorsqu’on observe les cas où l</w:t>
      </w:r>
      <w:r w:rsidR="7F7E0273">
        <w:rPr>
          <w:rFonts w:eastAsia="Times New Roman"/>
          <w:spacing w:val="-5"/>
        </w:rPr>
        <w:t>a CF</w:t>
      </w:r>
      <w:r w:rsidR="3C14D2DB" w:rsidRPr="00A627C4">
        <w:rPr>
          <w:rFonts w:eastAsia="Times New Roman"/>
          <w:spacing w:val="-5"/>
        </w:rPr>
        <w:t xml:space="preserve"> </w:t>
      </w:r>
      <w:r w:rsidR="7F7E0273">
        <w:rPr>
          <w:rFonts w:eastAsia="Times New Roman"/>
          <w:spacing w:val="-5"/>
        </w:rPr>
        <w:t>a</w:t>
      </w:r>
      <w:r w:rsidR="3C14D2DB" w:rsidRPr="00A627C4">
        <w:rPr>
          <w:rFonts w:eastAsia="Times New Roman"/>
          <w:spacing w:val="-5"/>
        </w:rPr>
        <w:t xml:space="preserve"> été appelé à trancher sur l’application de l’alinéa 34</w:t>
      </w:r>
      <w:r w:rsidR="00F97178">
        <w:rPr>
          <w:rFonts w:eastAsia="Times New Roman"/>
          <w:spacing w:val="-5"/>
        </w:rPr>
        <w:t xml:space="preserve"> </w:t>
      </w:r>
      <w:r w:rsidR="3C14D2DB" w:rsidRPr="00A627C4">
        <w:rPr>
          <w:rFonts w:eastAsia="Times New Roman"/>
          <w:spacing w:val="-5"/>
        </w:rPr>
        <w:t xml:space="preserve">(1) b) de la LIPR. </w:t>
      </w:r>
      <w:r w:rsidR="55E14907" w:rsidRPr="00A627C4">
        <w:rPr>
          <w:rFonts w:eastAsia="Times New Roman"/>
          <w:spacing w:val="-5"/>
        </w:rPr>
        <w:t xml:space="preserve">Dans l’affaire </w:t>
      </w:r>
      <w:r w:rsidR="55E14907" w:rsidRPr="2F4F01E5">
        <w:rPr>
          <w:rFonts w:eastAsia="Times New Roman"/>
          <w:i/>
          <w:iCs/>
          <w:spacing w:val="-5"/>
        </w:rPr>
        <w:t>Najafi</w:t>
      </w:r>
      <w:r w:rsidR="1BC2BA9E" w:rsidRPr="2F4F01E5">
        <w:rPr>
          <w:rFonts w:eastAsia="Times New Roman"/>
          <w:i/>
          <w:iCs/>
          <w:spacing w:val="-5"/>
        </w:rPr>
        <w:t xml:space="preserve"> </w:t>
      </w:r>
      <w:r w:rsidR="1BC2BA9E">
        <w:rPr>
          <w:rFonts w:eastAsia="Times New Roman"/>
          <w:spacing w:val="-5"/>
        </w:rPr>
        <w:t>CF</w:t>
      </w:r>
      <w:r w:rsidR="55E14907">
        <w:rPr>
          <w:rFonts w:eastAsia="Times New Roman"/>
          <w:spacing w:val="-5"/>
        </w:rPr>
        <w:t>,</w:t>
      </w:r>
      <w:r w:rsidR="55E14907" w:rsidRPr="2F4F01E5">
        <w:rPr>
          <w:rFonts w:eastAsia="Times New Roman"/>
          <w:i/>
          <w:iCs/>
          <w:spacing w:val="-5"/>
        </w:rPr>
        <w:t xml:space="preserve"> </w:t>
      </w:r>
      <w:r w:rsidR="51D77B4A" w:rsidRPr="00A627C4">
        <w:rPr>
          <w:rFonts w:eastAsia="Times New Roman"/>
          <w:spacing w:val="-5"/>
        </w:rPr>
        <w:t xml:space="preserve">il est reconnu que l’organisation en question, le PDKI, </w:t>
      </w:r>
      <w:r w:rsidR="40BF0B5D" w:rsidRPr="00A627C4">
        <w:rPr>
          <w:rFonts w:eastAsia="Times New Roman"/>
          <w:spacing w:val="-5"/>
        </w:rPr>
        <w:t>a mené plusieurs campagnes armées en vu</w:t>
      </w:r>
      <w:r w:rsidR="00F97178">
        <w:rPr>
          <w:rFonts w:eastAsia="Times New Roman"/>
          <w:spacing w:val="-5"/>
        </w:rPr>
        <w:t>e</w:t>
      </w:r>
      <w:r w:rsidR="40BF0B5D" w:rsidRPr="00A627C4">
        <w:rPr>
          <w:rFonts w:eastAsia="Times New Roman"/>
          <w:spacing w:val="-5"/>
        </w:rPr>
        <w:t xml:space="preserve"> de renverser deux gouvernements</w:t>
      </w:r>
      <w:r w:rsidR="00304EF0" w:rsidRPr="00A627C4">
        <w:rPr>
          <w:rStyle w:val="FootnoteReference"/>
          <w:rFonts w:eastAsia="Times New Roman"/>
          <w:spacing w:val="-5"/>
        </w:rPr>
        <w:footnoteReference w:id="62"/>
      </w:r>
      <w:r w:rsidR="162EB160" w:rsidRPr="00A627C4">
        <w:rPr>
          <w:rFonts w:eastAsia="Times New Roman"/>
          <w:spacing w:val="-5"/>
        </w:rPr>
        <w:t>, ce qui est semblab</w:t>
      </w:r>
      <w:r w:rsidR="72BEBCF4">
        <w:rPr>
          <w:rFonts w:eastAsia="Times New Roman"/>
          <w:spacing w:val="-5"/>
        </w:rPr>
        <w:t>l</w:t>
      </w:r>
      <w:r w:rsidR="162EB160" w:rsidRPr="00A627C4">
        <w:rPr>
          <w:rFonts w:eastAsia="Times New Roman"/>
          <w:spacing w:val="-5"/>
        </w:rPr>
        <w:t xml:space="preserve">e aux actes commis par le Komala dans l’affaire </w:t>
      </w:r>
      <w:r w:rsidR="162EB160" w:rsidRPr="2F4F01E5">
        <w:rPr>
          <w:rFonts w:eastAsia="Times New Roman"/>
          <w:i/>
          <w:iCs/>
          <w:spacing w:val="-5"/>
        </w:rPr>
        <w:t>Maleki</w:t>
      </w:r>
      <w:r w:rsidR="00F90FB6" w:rsidRPr="2F4F01E5">
        <w:rPr>
          <w:rStyle w:val="FootnoteReference"/>
          <w:rFonts w:eastAsia="Times New Roman"/>
          <w:i/>
          <w:iCs/>
          <w:spacing w:val="-5"/>
        </w:rPr>
        <w:footnoteReference w:id="63"/>
      </w:r>
      <w:r w:rsidR="04C00458" w:rsidRPr="00A627C4">
        <w:rPr>
          <w:rFonts w:eastAsia="Times New Roman"/>
          <w:spacing w:val="-5"/>
        </w:rPr>
        <w:t xml:space="preserve">. </w:t>
      </w:r>
      <w:r w:rsidR="2CB176D3" w:rsidRPr="00A627C4">
        <w:rPr>
          <w:rFonts w:eastAsia="Times New Roman"/>
          <w:spacing w:val="-5"/>
        </w:rPr>
        <w:t xml:space="preserve">Comme mentionné à la section </w:t>
      </w:r>
      <w:r w:rsidR="5124A293" w:rsidRPr="00A627C4">
        <w:rPr>
          <w:rFonts w:eastAsia="Times New Roman"/>
          <w:spacing w:val="-5"/>
        </w:rPr>
        <w:t xml:space="preserve">2.1.2, les affaires </w:t>
      </w:r>
      <w:r w:rsidR="5124A293" w:rsidRPr="2F4F01E5">
        <w:rPr>
          <w:rFonts w:eastAsia="Times New Roman"/>
          <w:i/>
          <w:iCs/>
          <w:spacing w:val="-5"/>
        </w:rPr>
        <w:t xml:space="preserve">Zahw </w:t>
      </w:r>
      <w:r w:rsidR="5124A293" w:rsidRPr="00A627C4">
        <w:rPr>
          <w:rFonts w:eastAsia="Times New Roman"/>
          <w:spacing w:val="-5"/>
        </w:rPr>
        <w:t xml:space="preserve">et </w:t>
      </w:r>
      <w:r w:rsidR="5124A293" w:rsidRPr="2F4F01E5">
        <w:rPr>
          <w:rFonts w:eastAsia="Times New Roman"/>
          <w:i/>
          <w:iCs/>
          <w:spacing w:val="-5"/>
        </w:rPr>
        <w:t xml:space="preserve">Niyungeko </w:t>
      </w:r>
      <w:r w:rsidR="5124A293" w:rsidRPr="00A627C4">
        <w:rPr>
          <w:rFonts w:eastAsia="Times New Roman"/>
          <w:spacing w:val="-5"/>
        </w:rPr>
        <w:t>p</w:t>
      </w:r>
      <w:r w:rsidR="55DB5BA2" w:rsidRPr="00A627C4">
        <w:rPr>
          <w:rFonts w:eastAsia="Times New Roman"/>
          <w:spacing w:val="-5"/>
        </w:rPr>
        <w:t>ortent sur des insurrections de l’armée</w:t>
      </w:r>
      <w:r w:rsidR="007301A2" w:rsidRPr="00A627C4">
        <w:rPr>
          <w:rStyle w:val="FootnoteReference"/>
          <w:rFonts w:eastAsia="Times New Roman"/>
          <w:spacing w:val="-5"/>
        </w:rPr>
        <w:footnoteReference w:id="64"/>
      </w:r>
      <w:r w:rsidR="55DB5BA2" w:rsidRPr="00A627C4">
        <w:rPr>
          <w:rFonts w:eastAsia="Times New Roman"/>
          <w:spacing w:val="-5"/>
        </w:rPr>
        <w:t xml:space="preserve">. </w:t>
      </w:r>
      <w:r w:rsidR="7333C84A" w:rsidRPr="00A627C4">
        <w:rPr>
          <w:rFonts w:eastAsia="Times New Roman"/>
          <w:spacing w:val="-5"/>
        </w:rPr>
        <w:t xml:space="preserve">Dans </w:t>
      </w:r>
      <w:r w:rsidR="162EB160" w:rsidRPr="00A627C4">
        <w:rPr>
          <w:rFonts w:eastAsia="Times New Roman"/>
          <w:spacing w:val="-5"/>
        </w:rPr>
        <w:t>l’</w:t>
      </w:r>
      <w:r w:rsidR="7333C84A" w:rsidRPr="00A627C4">
        <w:rPr>
          <w:rFonts w:eastAsia="Times New Roman"/>
          <w:spacing w:val="-5"/>
        </w:rPr>
        <w:t xml:space="preserve">affaire </w:t>
      </w:r>
      <w:r w:rsidR="7333C84A" w:rsidRPr="2F4F01E5">
        <w:rPr>
          <w:rFonts w:eastAsia="Times New Roman"/>
          <w:i/>
          <w:iCs/>
          <w:spacing w:val="-5"/>
        </w:rPr>
        <w:t>Oremade</w:t>
      </w:r>
      <w:r w:rsidR="1C2FE617" w:rsidRPr="2F4F01E5">
        <w:rPr>
          <w:rFonts w:eastAsia="Times New Roman"/>
          <w:i/>
          <w:iCs/>
          <w:spacing w:val="-5"/>
        </w:rPr>
        <w:t xml:space="preserve">, </w:t>
      </w:r>
      <w:r w:rsidR="0F719831" w:rsidRPr="00A627C4">
        <w:rPr>
          <w:rFonts w:eastAsia="Times New Roman"/>
          <w:spacing w:val="-5"/>
        </w:rPr>
        <w:t>il est question d</w:t>
      </w:r>
      <w:r w:rsidR="162EB160" w:rsidRPr="00A627C4">
        <w:rPr>
          <w:rFonts w:eastAsia="Times New Roman"/>
          <w:spacing w:val="-5"/>
        </w:rPr>
        <w:t>’un</w:t>
      </w:r>
      <w:r w:rsidR="0F719831" w:rsidRPr="00A627C4">
        <w:rPr>
          <w:rFonts w:eastAsia="Times New Roman"/>
          <w:spacing w:val="-5"/>
        </w:rPr>
        <w:t xml:space="preserve"> coup d’État</w:t>
      </w:r>
      <w:r w:rsidR="555B7A9C" w:rsidRPr="00A627C4">
        <w:rPr>
          <w:rFonts w:eastAsia="Times New Roman"/>
          <w:spacing w:val="-5"/>
        </w:rPr>
        <w:t xml:space="preserve">. Dans l’affaire </w:t>
      </w:r>
      <w:r w:rsidR="555B7A9C" w:rsidRPr="2F4F01E5">
        <w:rPr>
          <w:rFonts w:eastAsia="Times New Roman"/>
          <w:i/>
          <w:iCs/>
          <w:spacing w:val="-5"/>
        </w:rPr>
        <w:t xml:space="preserve">Eyakwe, </w:t>
      </w:r>
      <w:r w:rsidR="28D538DC" w:rsidRPr="00A627C4">
        <w:rPr>
          <w:rFonts w:eastAsia="Times New Roman"/>
          <w:spacing w:val="-5"/>
        </w:rPr>
        <w:t xml:space="preserve">une organisation, la SCYL, a pris le contrôle par les armes </w:t>
      </w:r>
      <w:r w:rsidR="03069DFB" w:rsidRPr="00A627C4">
        <w:rPr>
          <w:rFonts w:eastAsia="Times New Roman"/>
          <w:spacing w:val="-5"/>
        </w:rPr>
        <w:t>d’une statio</w:t>
      </w:r>
      <w:r w:rsidR="6D4CF382" w:rsidRPr="00A627C4">
        <w:rPr>
          <w:rFonts w:eastAsia="Times New Roman"/>
          <w:spacing w:val="-5"/>
        </w:rPr>
        <w:t xml:space="preserve">n radio, afin de diffuser une déclaration préenregistrée appelant </w:t>
      </w:r>
      <w:r w:rsidR="7453EF60" w:rsidRPr="00A627C4">
        <w:rPr>
          <w:rFonts w:eastAsia="Times New Roman"/>
          <w:spacing w:val="-5"/>
        </w:rPr>
        <w:t>les membres des forces armées</w:t>
      </w:r>
      <w:r w:rsidR="5A9F37B4" w:rsidRPr="00A627C4">
        <w:rPr>
          <w:rFonts w:eastAsia="Times New Roman"/>
          <w:spacing w:val="-5"/>
        </w:rPr>
        <w:t xml:space="preserve">, </w:t>
      </w:r>
      <w:r w:rsidR="7453EF60" w:rsidRPr="00A627C4">
        <w:rPr>
          <w:rFonts w:eastAsia="Times New Roman"/>
          <w:spacing w:val="-5"/>
        </w:rPr>
        <w:t>de la police</w:t>
      </w:r>
      <w:r w:rsidR="5A9F37B4" w:rsidRPr="00A627C4">
        <w:rPr>
          <w:rFonts w:eastAsia="Times New Roman"/>
          <w:spacing w:val="-5"/>
        </w:rPr>
        <w:t xml:space="preserve"> et les gardiens de prison</w:t>
      </w:r>
      <w:r w:rsidR="35543F4A" w:rsidRPr="00A627C4">
        <w:rPr>
          <w:rFonts w:eastAsia="Times New Roman"/>
          <w:spacing w:val="-5"/>
        </w:rPr>
        <w:t xml:space="preserve"> </w:t>
      </w:r>
      <w:r w:rsidR="5A9F37B4" w:rsidRPr="00A627C4">
        <w:rPr>
          <w:rFonts w:eastAsia="Times New Roman"/>
          <w:spacing w:val="-5"/>
        </w:rPr>
        <w:t>«</w:t>
      </w:r>
      <w:r w:rsidR="00F97178">
        <w:rPr>
          <w:rFonts w:eastAsia="Times New Roman"/>
          <w:spacing w:val="-5"/>
        </w:rPr>
        <w:t> </w:t>
      </w:r>
      <w:r w:rsidR="27DF9EB0" w:rsidRPr="00A627C4">
        <w:rPr>
          <w:rFonts w:eastAsia="Times New Roman"/>
          <w:spacing w:val="-5"/>
        </w:rPr>
        <w:t>à</w:t>
      </w:r>
      <w:r w:rsidR="5A9F37B4" w:rsidRPr="00A627C4">
        <w:rPr>
          <w:rFonts w:eastAsia="Times New Roman"/>
          <w:spacing w:val="-5"/>
        </w:rPr>
        <w:t xml:space="preserve"> défendre la souveraineté du pays</w:t>
      </w:r>
      <w:r w:rsidR="00F97178">
        <w:rPr>
          <w:rFonts w:eastAsia="Times New Roman"/>
          <w:spacing w:val="-5"/>
        </w:rPr>
        <w:t> </w:t>
      </w:r>
      <w:r w:rsidR="5A9F37B4" w:rsidRPr="00A627C4">
        <w:rPr>
          <w:rFonts w:eastAsia="Times New Roman"/>
          <w:spacing w:val="-5"/>
        </w:rPr>
        <w:t>»</w:t>
      </w:r>
      <w:r w:rsidR="001A6327" w:rsidRPr="00A627C4">
        <w:rPr>
          <w:rStyle w:val="FootnoteReference"/>
          <w:rFonts w:eastAsia="Times New Roman"/>
          <w:spacing w:val="-5"/>
        </w:rPr>
        <w:footnoteReference w:id="65"/>
      </w:r>
      <w:r w:rsidR="4155C312" w:rsidRPr="00A627C4">
        <w:rPr>
          <w:rFonts w:eastAsia="Times New Roman"/>
          <w:spacing w:val="-5"/>
        </w:rPr>
        <w:t xml:space="preserve">. </w:t>
      </w:r>
    </w:p>
    <w:p w14:paraId="478FB1CB" w14:textId="59BA5EDA" w:rsidR="00A0232F" w:rsidRPr="00A627C4" w:rsidRDefault="0A855232" w:rsidP="0034578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Bref, dans ces nombreuses affaires, il existe une preuve claire et convaincante que les organisations en question ont bel et bien commis des actes dans l’intention de renverser le gouvernement par la force. </w:t>
      </w:r>
      <w:r w:rsidR="2FA4CFF8" w:rsidRPr="00A627C4">
        <w:rPr>
          <w:rFonts w:eastAsia="Times New Roman"/>
          <w:spacing w:val="-5"/>
        </w:rPr>
        <w:t xml:space="preserve">Le cas de notre client se distingue </w:t>
      </w:r>
      <w:r w:rsidR="2408F2FD" w:rsidRPr="00A627C4">
        <w:rPr>
          <w:rFonts w:eastAsia="Times New Roman"/>
          <w:spacing w:val="-5"/>
        </w:rPr>
        <w:t>de façon marquante de ces décisions, dans la mesure où le</w:t>
      </w:r>
      <w:r w:rsidR="0B559711" w:rsidRPr="00A627C4">
        <w:rPr>
          <w:rFonts w:eastAsia="Times New Roman"/>
          <w:spacing w:val="-5"/>
        </w:rPr>
        <w:t xml:space="preserve"> PNB</w:t>
      </w:r>
      <w:r w:rsidR="4A97DC51" w:rsidRPr="00A627C4">
        <w:rPr>
          <w:rFonts w:eastAsia="Times New Roman"/>
          <w:spacing w:val="-5"/>
        </w:rPr>
        <w:t xml:space="preserve"> n’a jamais fait des appels à commettre des actes de violence. </w:t>
      </w:r>
      <w:r w:rsidR="2675EB0E" w:rsidRPr="00A627C4">
        <w:rPr>
          <w:rFonts w:eastAsia="Times New Roman"/>
          <w:spacing w:val="-5"/>
        </w:rPr>
        <w:t xml:space="preserve">Comme nous l’avons </w:t>
      </w:r>
      <w:r w:rsidR="56B4ECCD" w:rsidRPr="00A627C4">
        <w:rPr>
          <w:rFonts w:eastAsia="Times New Roman"/>
          <w:spacing w:val="-5"/>
        </w:rPr>
        <w:t>posé dans les sections</w:t>
      </w:r>
      <w:r w:rsidR="00F97178">
        <w:rPr>
          <w:rFonts w:eastAsia="Times New Roman"/>
          <w:spacing w:val="-5"/>
        </w:rPr>
        <w:t> </w:t>
      </w:r>
      <w:r w:rsidR="2662D259" w:rsidRPr="00A627C4">
        <w:rPr>
          <w:rFonts w:eastAsia="Times New Roman"/>
          <w:spacing w:val="-5"/>
        </w:rPr>
        <w:t xml:space="preserve">2.1 et suivantes, la juge Jagger a conclu à bon droit que </w:t>
      </w:r>
      <w:r w:rsidR="397847C9">
        <w:rPr>
          <w:rFonts w:eastAsia="Times New Roman"/>
          <w:spacing w:val="-5"/>
        </w:rPr>
        <w:t>la preuve</w:t>
      </w:r>
      <w:r w:rsidR="2662D259" w:rsidRPr="00A627C4">
        <w:rPr>
          <w:rFonts w:eastAsia="Times New Roman"/>
          <w:spacing w:val="-5"/>
        </w:rPr>
        <w:t xml:space="preserve"> ne suffisait pas </w:t>
      </w:r>
      <w:r w:rsidR="62552100" w:rsidRPr="00A627C4">
        <w:rPr>
          <w:rFonts w:eastAsia="Times New Roman"/>
          <w:spacing w:val="-5"/>
        </w:rPr>
        <w:t>à remplir les critères de l’alinéa 34</w:t>
      </w:r>
      <w:r w:rsidR="00F97178">
        <w:rPr>
          <w:rFonts w:eastAsia="Times New Roman"/>
          <w:spacing w:val="-5"/>
        </w:rPr>
        <w:t xml:space="preserve"> </w:t>
      </w:r>
      <w:r w:rsidR="62552100" w:rsidRPr="00A627C4">
        <w:rPr>
          <w:rFonts w:eastAsia="Times New Roman"/>
          <w:spacing w:val="-5"/>
        </w:rPr>
        <w:t xml:space="preserve">(1) b) LIPR. </w:t>
      </w:r>
      <w:r w:rsidR="0F729151" w:rsidRPr="00A627C4">
        <w:rPr>
          <w:rFonts w:eastAsia="Times New Roman"/>
          <w:spacing w:val="-5"/>
        </w:rPr>
        <w:t xml:space="preserve">Pis encore, ces actes ont erronément été présumés par l’agent Ali comme </w:t>
      </w:r>
      <w:r w:rsidR="58375527" w:rsidRPr="00A627C4">
        <w:rPr>
          <w:rFonts w:eastAsia="Times New Roman"/>
          <w:spacing w:val="-5"/>
        </w:rPr>
        <w:t xml:space="preserve">visant au renversement de la LA. </w:t>
      </w:r>
      <w:r w:rsidR="702E853F" w:rsidRPr="00A627C4">
        <w:rPr>
          <w:rFonts w:eastAsia="Times New Roman"/>
          <w:spacing w:val="-5"/>
        </w:rPr>
        <w:t xml:space="preserve">Or, l’agent Ali aurait dû </w:t>
      </w:r>
      <w:r w:rsidR="17C40579" w:rsidRPr="00A627C4">
        <w:rPr>
          <w:rFonts w:eastAsia="Times New Roman"/>
          <w:spacing w:val="-5"/>
        </w:rPr>
        <w:t xml:space="preserve">reconnaître que le Bangladesh est un État démocratique, </w:t>
      </w:r>
      <w:r w:rsidR="689B7001" w:rsidRPr="00A627C4">
        <w:rPr>
          <w:rFonts w:eastAsia="Times New Roman"/>
          <w:spacing w:val="-5"/>
        </w:rPr>
        <w:t>que la LA et le PNB s’échangent le pouvoir depuis plus de 30 ans</w:t>
      </w:r>
      <w:r w:rsidR="6A80BF43" w:rsidRPr="00A627C4">
        <w:rPr>
          <w:rFonts w:eastAsia="Times New Roman"/>
          <w:spacing w:val="-5"/>
        </w:rPr>
        <w:t xml:space="preserve">, que le PNB est un parti légitime et démocratique et que de ce fait, </w:t>
      </w:r>
      <w:r w:rsidR="4C5C5C6D" w:rsidRPr="00A627C4">
        <w:rPr>
          <w:rFonts w:eastAsia="Times New Roman"/>
          <w:spacing w:val="-5"/>
        </w:rPr>
        <w:t xml:space="preserve">les preuves ne permettent pas </w:t>
      </w:r>
      <w:r w:rsidR="67488D3F" w:rsidRPr="00A627C4">
        <w:rPr>
          <w:rFonts w:eastAsia="Times New Roman"/>
          <w:spacing w:val="-5"/>
        </w:rPr>
        <w:t>de s’écarter du scénario l</w:t>
      </w:r>
      <w:r w:rsidR="1198BCC6" w:rsidRPr="00A627C4">
        <w:rPr>
          <w:rFonts w:eastAsia="Times New Roman"/>
          <w:spacing w:val="-5"/>
        </w:rPr>
        <w:t>e</w:t>
      </w:r>
      <w:r w:rsidR="67488D3F" w:rsidRPr="00A627C4">
        <w:rPr>
          <w:rFonts w:eastAsia="Times New Roman"/>
          <w:spacing w:val="-5"/>
        </w:rPr>
        <w:t xml:space="preserve"> plus probable </w:t>
      </w:r>
      <w:r w:rsidR="2154A78A" w:rsidRPr="00A627C4">
        <w:rPr>
          <w:rFonts w:eastAsia="Times New Roman"/>
          <w:spacing w:val="-5"/>
        </w:rPr>
        <w:t>et à présumer dans les circonstances</w:t>
      </w:r>
      <w:r w:rsidR="00F97178">
        <w:rPr>
          <w:rFonts w:eastAsia="Times New Roman"/>
          <w:spacing w:val="-5"/>
        </w:rPr>
        <w:t> </w:t>
      </w:r>
      <w:r w:rsidR="67488D3F" w:rsidRPr="00A627C4">
        <w:rPr>
          <w:rFonts w:eastAsia="Times New Roman"/>
          <w:spacing w:val="-5"/>
        </w:rPr>
        <w:t xml:space="preserve">: les appels aux </w:t>
      </w:r>
      <w:r w:rsidR="67488D3F" w:rsidRPr="07ABB96B">
        <w:rPr>
          <w:rFonts w:eastAsia="Times New Roman"/>
          <w:i/>
          <w:iCs/>
          <w:spacing w:val="-5"/>
        </w:rPr>
        <w:t>hartals</w:t>
      </w:r>
      <w:r w:rsidR="67488D3F" w:rsidRPr="00A627C4">
        <w:rPr>
          <w:rFonts w:eastAsia="Times New Roman"/>
          <w:spacing w:val="-5"/>
        </w:rPr>
        <w:t xml:space="preserve"> et aux grèves ayant eu lieu entre 2002 et 2014 </w:t>
      </w:r>
      <w:r w:rsidR="3551CB41" w:rsidRPr="00A627C4">
        <w:rPr>
          <w:rFonts w:eastAsia="Times New Roman"/>
          <w:spacing w:val="-5"/>
        </w:rPr>
        <w:t>fait</w:t>
      </w:r>
      <w:r w:rsidR="00F97178">
        <w:rPr>
          <w:rFonts w:eastAsia="Times New Roman"/>
          <w:spacing w:val="-5"/>
        </w:rPr>
        <w:t>s</w:t>
      </w:r>
      <w:r w:rsidR="3551CB41" w:rsidRPr="00A627C4">
        <w:rPr>
          <w:rFonts w:eastAsia="Times New Roman"/>
          <w:spacing w:val="-5"/>
        </w:rPr>
        <w:t xml:space="preserve"> par le PNB</w:t>
      </w:r>
      <w:r w:rsidR="02713DCD" w:rsidRPr="00A627C4">
        <w:rPr>
          <w:rFonts w:eastAsia="Times New Roman"/>
          <w:spacing w:val="-5"/>
        </w:rPr>
        <w:t xml:space="preserve"> </w:t>
      </w:r>
      <w:r w:rsidR="2154A78A" w:rsidRPr="00A627C4">
        <w:rPr>
          <w:rFonts w:eastAsia="Times New Roman"/>
          <w:spacing w:val="-5"/>
        </w:rPr>
        <w:t xml:space="preserve">étaient un geste d’expression politique légitime. </w:t>
      </w:r>
    </w:p>
    <w:p w14:paraId="46E0B404" w14:textId="1D065C2B" w:rsidR="00B42E0A" w:rsidRPr="00B42E0A" w:rsidRDefault="007D579A" w:rsidP="00B42E0A">
      <w:pPr>
        <w:pStyle w:val="ListParagraph"/>
        <w:numPr>
          <w:ilvl w:val="1"/>
          <w:numId w:val="11"/>
        </w:numPr>
        <w:spacing w:after="240"/>
        <w:jc w:val="both"/>
        <w:rPr>
          <w:rFonts w:eastAsia="Times New Roman"/>
          <w:b/>
          <w:bCs/>
          <w:spacing w:val="-5"/>
        </w:rPr>
      </w:pPr>
      <w:r>
        <w:rPr>
          <w:rFonts w:eastAsia="Times New Roman"/>
          <w:b/>
          <w:bCs/>
          <w:spacing w:val="-5"/>
        </w:rPr>
        <w:t>Conformité</w:t>
      </w:r>
      <w:r w:rsidRPr="007D579A">
        <w:rPr>
          <w:rFonts w:eastAsia="Times New Roman"/>
          <w:b/>
          <w:bCs/>
          <w:spacing w:val="-5"/>
        </w:rPr>
        <w:t xml:space="preserve"> </w:t>
      </w:r>
      <w:r w:rsidRPr="00B42E0A">
        <w:rPr>
          <w:rFonts w:eastAsia="Times New Roman"/>
          <w:b/>
          <w:bCs/>
          <w:spacing w:val="-5"/>
        </w:rPr>
        <w:t>à l’article</w:t>
      </w:r>
      <w:r w:rsidR="009F63AB">
        <w:rPr>
          <w:rFonts w:eastAsia="Times New Roman"/>
          <w:b/>
          <w:bCs/>
          <w:spacing w:val="-5"/>
        </w:rPr>
        <w:t> </w:t>
      </w:r>
      <w:r w:rsidRPr="00B42E0A">
        <w:rPr>
          <w:rFonts w:eastAsia="Times New Roman"/>
          <w:b/>
          <w:bCs/>
          <w:spacing w:val="-5"/>
        </w:rPr>
        <w:t>8</w:t>
      </w:r>
      <w:r w:rsidR="009F63AB">
        <w:rPr>
          <w:rFonts w:eastAsia="Times New Roman"/>
          <w:b/>
          <w:bCs/>
          <w:spacing w:val="-5"/>
        </w:rPr>
        <w:t> </w:t>
      </w:r>
      <w:r w:rsidRPr="00B42E0A">
        <w:rPr>
          <w:rFonts w:eastAsia="Times New Roman"/>
          <w:b/>
          <w:bCs/>
          <w:spacing w:val="-5"/>
        </w:rPr>
        <w:t xml:space="preserve">1.d) du </w:t>
      </w:r>
      <w:r w:rsidRPr="5056CA6C">
        <w:rPr>
          <w:rFonts w:eastAsia="Times New Roman"/>
          <w:b/>
          <w:bCs/>
          <w:i/>
          <w:iCs/>
          <w:spacing w:val="-5"/>
        </w:rPr>
        <w:t>Pacte</w:t>
      </w:r>
    </w:p>
    <w:p w14:paraId="4B5290CC" w14:textId="3B935859" w:rsidR="00B42E0A" w:rsidRPr="00B42E0A" w:rsidRDefault="052D2D76" w:rsidP="00B42E0A">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Le Canada suit un système dualiste</w:t>
      </w:r>
      <w:r w:rsidR="009F63AB">
        <w:rPr>
          <w:rFonts w:eastAsia="Times New Roman"/>
          <w:spacing w:val="-5"/>
        </w:rPr>
        <w:t> </w:t>
      </w:r>
      <w:r w:rsidRPr="00A627C4">
        <w:rPr>
          <w:rFonts w:eastAsia="Times New Roman"/>
          <w:spacing w:val="-5"/>
        </w:rPr>
        <w:t xml:space="preserve">: les traités internationaux ne font pas automatiquement partie du droit interne canadien. </w:t>
      </w:r>
      <w:r w:rsidR="667E43DB">
        <w:rPr>
          <w:rFonts w:eastAsia="Times New Roman"/>
          <w:spacing w:val="-5"/>
        </w:rPr>
        <w:t>Comme posé à la section</w:t>
      </w:r>
      <w:r w:rsidR="009F63AB">
        <w:rPr>
          <w:rFonts w:eastAsia="Times New Roman"/>
          <w:spacing w:val="-5"/>
        </w:rPr>
        <w:t> </w:t>
      </w:r>
      <w:r w:rsidR="667E43DB">
        <w:rPr>
          <w:rFonts w:eastAsia="Times New Roman"/>
          <w:spacing w:val="-5"/>
        </w:rPr>
        <w:t xml:space="preserve">1.1, </w:t>
      </w:r>
      <w:r w:rsidRPr="00A627C4">
        <w:rPr>
          <w:rFonts w:eastAsia="Times New Roman"/>
          <w:spacing w:val="-5"/>
        </w:rPr>
        <w:t xml:space="preserve">l’arrêt </w:t>
      </w:r>
      <w:r w:rsidRPr="519EB0BC">
        <w:rPr>
          <w:rFonts w:eastAsia="Times New Roman"/>
          <w:i/>
          <w:iCs/>
          <w:spacing w:val="-5"/>
        </w:rPr>
        <w:t>Baker</w:t>
      </w:r>
      <w:r w:rsidR="1E7771CF">
        <w:rPr>
          <w:rFonts w:eastAsia="Times New Roman"/>
          <w:spacing w:val="-5"/>
        </w:rPr>
        <w:t xml:space="preserve"> souligne qu’ils doivent être pris en compte </w:t>
      </w:r>
      <w:r w:rsidR="6F95A13A">
        <w:rPr>
          <w:rFonts w:eastAsia="Times New Roman"/>
          <w:spacing w:val="-5"/>
        </w:rPr>
        <w:t>«</w:t>
      </w:r>
      <w:r w:rsidR="009F63AB">
        <w:rPr>
          <w:rFonts w:eastAsia="Times New Roman"/>
          <w:spacing w:val="-5"/>
        </w:rPr>
        <w:t> </w:t>
      </w:r>
      <w:r w:rsidR="6F95A13A">
        <w:rPr>
          <w:rFonts w:eastAsia="Times New Roman"/>
          <w:spacing w:val="-5"/>
        </w:rPr>
        <w:t>dans l’approche contextuelle de l’interprétation des lois</w:t>
      </w:r>
      <w:r w:rsidR="009F63AB">
        <w:rPr>
          <w:rFonts w:eastAsia="Times New Roman"/>
          <w:spacing w:val="-5"/>
        </w:rPr>
        <w:t> </w:t>
      </w:r>
      <w:r w:rsidR="6F95A13A">
        <w:rPr>
          <w:rFonts w:eastAsia="Times New Roman"/>
          <w:spacing w:val="-5"/>
        </w:rPr>
        <w:t>»</w:t>
      </w:r>
      <w:r w:rsidR="00424C09" w:rsidRPr="00A627C4">
        <w:rPr>
          <w:rStyle w:val="FootnoteReference"/>
          <w:rFonts w:eastAsia="Times New Roman"/>
          <w:spacing w:val="-5"/>
        </w:rPr>
        <w:footnoteReference w:id="66"/>
      </w:r>
      <w:r w:rsidR="6F95A13A">
        <w:rPr>
          <w:rFonts w:eastAsia="Times New Roman"/>
          <w:spacing w:val="-5"/>
        </w:rPr>
        <w:t>.</w:t>
      </w:r>
    </w:p>
    <w:p w14:paraId="59055893" w14:textId="271BD772" w:rsidR="00AD0794" w:rsidRPr="00A627C4" w:rsidRDefault="1CA33EC3" w:rsidP="00AD0794">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Le Canada et le Bangladesh ont ratifié le </w:t>
      </w:r>
      <w:r w:rsidRPr="1CB0A6BE">
        <w:rPr>
          <w:rFonts w:eastAsia="Times New Roman"/>
          <w:i/>
          <w:iCs/>
          <w:spacing w:val="-5"/>
        </w:rPr>
        <w:t>P</w:t>
      </w:r>
      <w:r w:rsidRPr="00A627C4">
        <w:rPr>
          <w:rFonts w:eastAsia="Times New Roman"/>
          <w:spacing w:val="-5"/>
        </w:rPr>
        <w:t>ac</w:t>
      </w:r>
      <w:r w:rsidRPr="1CB0A6BE">
        <w:rPr>
          <w:rFonts w:eastAsia="Times New Roman"/>
          <w:i/>
          <w:iCs/>
          <w:spacing w:val="-5"/>
        </w:rPr>
        <w:t>te</w:t>
      </w:r>
      <w:r w:rsidR="00AD0794" w:rsidRPr="00A627C4">
        <w:rPr>
          <w:rStyle w:val="FootnoteReference"/>
          <w:rFonts w:eastAsia="Times New Roman"/>
          <w:spacing w:val="-5"/>
        </w:rPr>
        <w:footnoteReference w:id="67"/>
      </w:r>
      <w:r w:rsidR="012E1024" w:rsidRPr="00A627C4">
        <w:rPr>
          <w:rFonts w:eastAsia="Times New Roman"/>
          <w:spacing w:val="-5"/>
        </w:rPr>
        <w:t xml:space="preserve"> de 1976</w:t>
      </w:r>
      <w:r w:rsidR="012E1024" w:rsidRPr="34CB3200">
        <w:rPr>
          <w:rFonts w:eastAsia="Times New Roman"/>
        </w:rPr>
        <w:t>.</w:t>
      </w:r>
      <w:r w:rsidRPr="00A627C4">
        <w:rPr>
          <w:rFonts w:eastAsia="Times New Roman"/>
          <w:spacing w:val="-5"/>
        </w:rPr>
        <w:t xml:space="preserve"> Le Canada n’a émis aucune réserve à son égard. Le Bangladesh a émis plusieurs réserves, mais la seule pertinente en l’espèce est celle relative à l’article</w:t>
      </w:r>
      <w:r w:rsidR="009F63AB">
        <w:rPr>
          <w:rFonts w:eastAsia="Times New Roman"/>
          <w:spacing w:val="-5"/>
        </w:rPr>
        <w:t> </w:t>
      </w:r>
      <w:r w:rsidRPr="00A627C4">
        <w:rPr>
          <w:rFonts w:eastAsia="Times New Roman"/>
          <w:spacing w:val="-5"/>
        </w:rPr>
        <w:t xml:space="preserve">8 du </w:t>
      </w:r>
      <w:r w:rsidRPr="003B6AAE">
        <w:rPr>
          <w:rFonts w:eastAsia="Times New Roman"/>
          <w:i/>
          <w:iCs/>
          <w:spacing w:val="-5"/>
        </w:rPr>
        <w:t>Pacte</w:t>
      </w:r>
      <w:r w:rsidR="00AD0794" w:rsidRPr="00A627C4">
        <w:rPr>
          <w:rStyle w:val="FootnoteReference"/>
          <w:rFonts w:eastAsia="Times New Roman"/>
          <w:spacing w:val="-5"/>
        </w:rPr>
        <w:footnoteReference w:id="68"/>
      </w:r>
      <w:r w:rsidRPr="00A627C4">
        <w:rPr>
          <w:rFonts w:eastAsia="Times New Roman"/>
          <w:spacing w:val="-5"/>
        </w:rPr>
        <w:t>. La réserve du Bangladesh précise que l’article</w:t>
      </w:r>
      <w:r w:rsidR="009F63AB">
        <w:rPr>
          <w:rFonts w:eastAsia="Times New Roman"/>
          <w:spacing w:val="-5"/>
        </w:rPr>
        <w:t> </w:t>
      </w:r>
      <w:r w:rsidRPr="00A627C4">
        <w:rPr>
          <w:rFonts w:eastAsia="Times New Roman"/>
          <w:spacing w:val="-5"/>
        </w:rPr>
        <w:t xml:space="preserve">8 va être appliqué en conformité avec les </w:t>
      </w:r>
      <w:r>
        <w:rPr>
          <w:rFonts w:eastAsia="Times New Roman"/>
          <w:spacing w:val="-5"/>
        </w:rPr>
        <w:t>«</w:t>
      </w:r>
      <w:r w:rsidR="009F63AB">
        <w:rPr>
          <w:rFonts w:eastAsia="Times New Roman"/>
          <w:spacing w:val="-5"/>
        </w:rPr>
        <w:t> </w:t>
      </w:r>
      <w:r w:rsidRPr="00A627C4">
        <w:rPr>
          <w:rFonts w:eastAsia="Times New Roman"/>
          <w:spacing w:val="-5"/>
        </w:rPr>
        <w:t xml:space="preserve">dispositions et [l]es procédures prévues par la Constitution et la l’égislation </w:t>
      </w:r>
      <w:r w:rsidR="00B967A4">
        <w:rPr>
          <w:rFonts w:eastAsia="Times New Roman"/>
          <w:spacing w:val="-5"/>
        </w:rPr>
        <w:t xml:space="preserve">(sic) </w:t>
      </w:r>
      <w:r w:rsidRPr="00A627C4">
        <w:rPr>
          <w:rFonts w:eastAsia="Times New Roman"/>
          <w:spacing w:val="-5"/>
        </w:rPr>
        <w:t>pertinente du Bangladesh</w:t>
      </w:r>
      <w:r w:rsidR="009F63AB">
        <w:rPr>
          <w:rFonts w:eastAsia="Times New Roman"/>
          <w:spacing w:val="-5"/>
        </w:rPr>
        <w:t> </w:t>
      </w:r>
      <w:r>
        <w:rPr>
          <w:rFonts w:eastAsia="Times New Roman"/>
          <w:spacing w:val="-5"/>
        </w:rPr>
        <w:t>»</w:t>
      </w:r>
      <w:r w:rsidRPr="00A627C4">
        <w:rPr>
          <w:rFonts w:eastAsia="Times New Roman"/>
          <w:spacing w:val="-5"/>
        </w:rPr>
        <w:t xml:space="preserve">. Le Canada n’a pas formulé d’objection quant aux réserves du Bangladesh. </w:t>
      </w:r>
    </w:p>
    <w:p w14:paraId="3D23D44C" w14:textId="121E3041" w:rsidR="00AD0794" w:rsidRPr="00262995" w:rsidRDefault="1CA33EC3" w:rsidP="00AD0794">
      <w:pPr>
        <w:pStyle w:val="ListParagraph"/>
        <w:numPr>
          <w:ilvl w:val="0"/>
          <w:numId w:val="7"/>
        </w:numPr>
        <w:spacing w:after="240" w:line="480" w:lineRule="auto"/>
        <w:ind w:left="0" w:firstLine="357"/>
        <w:jc w:val="both"/>
        <w:rPr>
          <w:rFonts w:eastAsia="Times New Roman"/>
          <w:spacing w:val="-5"/>
        </w:rPr>
      </w:pPr>
      <w:r w:rsidRPr="00A627C4">
        <w:rPr>
          <w:spacing w:val="-5"/>
        </w:rPr>
        <w:t>L’alinéa d) du premier paragraphe de l’article</w:t>
      </w:r>
      <w:r w:rsidR="009F63AB">
        <w:rPr>
          <w:spacing w:val="-5"/>
        </w:rPr>
        <w:t> </w:t>
      </w:r>
      <w:r w:rsidRPr="00A627C4">
        <w:rPr>
          <w:spacing w:val="-5"/>
        </w:rPr>
        <w:t xml:space="preserve">8 du </w:t>
      </w:r>
      <w:r w:rsidRPr="003B6AAE">
        <w:rPr>
          <w:i/>
          <w:iCs/>
          <w:spacing w:val="-5"/>
        </w:rPr>
        <w:t>Pacte</w:t>
      </w:r>
      <w:r w:rsidR="009F63AB">
        <w:rPr>
          <w:spacing w:val="-5"/>
        </w:rPr>
        <w:t> </w:t>
      </w:r>
      <w:r w:rsidRPr="00A627C4">
        <w:rPr>
          <w:spacing w:val="-5"/>
        </w:rPr>
        <w:t xml:space="preserve">: </w:t>
      </w:r>
    </w:p>
    <w:p w14:paraId="229439BC" w14:textId="31403F51" w:rsidR="00AD0794" w:rsidRDefault="00AD0794" w:rsidP="00AD0794">
      <w:pPr>
        <w:pStyle w:val="ListParagraph"/>
        <w:spacing w:after="240" w:line="240" w:lineRule="auto"/>
        <w:ind w:left="284" w:right="284"/>
        <w:jc w:val="both"/>
      </w:pPr>
      <w:r w:rsidRPr="00262995">
        <w:rPr>
          <w:spacing w:val="-5"/>
        </w:rPr>
        <w:t xml:space="preserve">1. Les </w:t>
      </w:r>
      <w:r w:rsidR="009F63AB">
        <w:rPr>
          <w:spacing w:val="-5"/>
        </w:rPr>
        <w:t>E</w:t>
      </w:r>
      <w:r w:rsidRPr="00262995">
        <w:rPr>
          <w:spacing w:val="-5"/>
        </w:rPr>
        <w:t xml:space="preserve">tats parties au présent </w:t>
      </w:r>
      <w:r w:rsidRPr="003B6AAE">
        <w:rPr>
          <w:spacing w:val="-5"/>
        </w:rPr>
        <w:t>Pacte</w:t>
      </w:r>
      <w:r w:rsidRPr="00262995">
        <w:rPr>
          <w:spacing w:val="-5"/>
        </w:rPr>
        <w:t xml:space="preserve"> s</w:t>
      </w:r>
      <w:r w:rsidR="009F63AB">
        <w:rPr>
          <w:spacing w:val="-5"/>
        </w:rPr>
        <w:t>’</w:t>
      </w:r>
      <w:r w:rsidRPr="00262995">
        <w:rPr>
          <w:spacing w:val="-5"/>
        </w:rPr>
        <w:t>engagent à assurer</w:t>
      </w:r>
      <w:r w:rsidR="009F63AB">
        <w:rPr>
          <w:spacing w:val="-5"/>
        </w:rPr>
        <w:t> </w:t>
      </w:r>
      <w:r w:rsidRPr="00262995">
        <w:rPr>
          <w:spacing w:val="-5"/>
        </w:rPr>
        <w:t xml:space="preserve">: </w:t>
      </w:r>
    </w:p>
    <w:p w14:paraId="2B7797C5" w14:textId="77777777" w:rsidR="00AD0794" w:rsidRDefault="00AD0794" w:rsidP="00AD0794">
      <w:pPr>
        <w:pStyle w:val="ListParagraph"/>
        <w:spacing w:after="240" w:line="240" w:lineRule="auto"/>
        <w:ind w:left="284" w:right="284"/>
        <w:jc w:val="both"/>
        <w:rPr>
          <w:spacing w:val="-5"/>
        </w:rPr>
      </w:pPr>
      <w:r w:rsidRPr="00A627C4">
        <w:rPr>
          <w:spacing w:val="-5"/>
        </w:rPr>
        <w:t>[…]</w:t>
      </w:r>
    </w:p>
    <w:p w14:paraId="26063C6E" w14:textId="77777777" w:rsidR="00AD0794" w:rsidRDefault="00AD0794" w:rsidP="00AD0794">
      <w:pPr>
        <w:pStyle w:val="ListParagraph"/>
        <w:spacing w:after="240" w:line="240" w:lineRule="auto"/>
        <w:ind w:left="284" w:right="284"/>
        <w:jc w:val="both"/>
        <w:rPr>
          <w:spacing w:val="-5"/>
        </w:rPr>
      </w:pPr>
      <w:r w:rsidRPr="00A627C4">
        <w:rPr>
          <w:spacing w:val="-5"/>
        </w:rPr>
        <w:t>d) Le droit de grève, exercé conformément aux lois de chaque pays.</w:t>
      </w:r>
    </w:p>
    <w:p w14:paraId="584915F6" w14:textId="77777777" w:rsidR="00AD0794" w:rsidRPr="00262995" w:rsidRDefault="00AD0794" w:rsidP="00AD0794">
      <w:pPr>
        <w:pStyle w:val="ListParagraph"/>
        <w:spacing w:after="240" w:line="240" w:lineRule="auto"/>
        <w:ind w:left="284" w:right="284"/>
        <w:jc w:val="both"/>
        <w:rPr>
          <w:rFonts w:eastAsia="Times New Roman"/>
          <w:spacing w:val="-5"/>
        </w:rPr>
      </w:pPr>
    </w:p>
    <w:p w14:paraId="06DC5B95" w14:textId="1AE4783C" w:rsidR="00AD0794" w:rsidRPr="00A627C4" w:rsidRDefault="1CA33EC3" w:rsidP="00AD0794">
      <w:pPr>
        <w:pStyle w:val="ListParagraph"/>
        <w:numPr>
          <w:ilvl w:val="0"/>
          <w:numId w:val="7"/>
        </w:numPr>
        <w:spacing w:after="240" w:line="480" w:lineRule="auto"/>
        <w:ind w:left="0" w:firstLine="357"/>
        <w:jc w:val="both"/>
      </w:pPr>
      <w:r w:rsidRPr="00A627C4">
        <w:rPr>
          <w:rFonts w:eastAsia="Times New Roman"/>
          <w:color w:val="000000" w:themeColor="text1"/>
          <w:spacing w:val="-5"/>
        </w:rPr>
        <w:t xml:space="preserve">Bien que cette disposition ne mentionne pas explicitement le droit de manifester, la grève </w:t>
      </w:r>
      <w:r>
        <w:rPr>
          <w:rFonts w:eastAsia="Times New Roman"/>
          <w:color w:val="000000" w:themeColor="text1"/>
          <w:spacing w:val="-5"/>
        </w:rPr>
        <w:t xml:space="preserve">en </w:t>
      </w:r>
      <w:r w:rsidRPr="00A627C4">
        <w:rPr>
          <w:rFonts w:eastAsia="Times New Roman"/>
          <w:color w:val="000000" w:themeColor="text1"/>
          <w:spacing w:val="-5"/>
        </w:rPr>
        <w:t xml:space="preserve">est une branche spécifique. Il n’y a aucun autre traité international qui porte sur le droit de manifester. Il y a lieu de se demander si les </w:t>
      </w:r>
      <w:r w:rsidRPr="07ABB96B">
        <w:rPr>
          <w:rFonts w:eastAsia="Times New Roman"/>
          <w:i/>
          <w:iCs/>
          <w:color w:val="000000" w:themeColor="text1"/>
          <w:spacing w:val="-5"/>
        </w:rPr>
        <w:t xml:space="preserve">hartals </w:t>
      </w:r>
      <w:r w:rsidRPr="00A627C4">
        <w:rPr>
          <w:rFonts w:eastAsia="Times New Roman"/>
          <w:color w:val="000000" w:themeColor="text1"/>
          <w:spacing w:val="-5"/>
        </w:rPr>
        <w:t xml:space="preserve">qualifient de </w:t>
      </w:r>
      <w:r>
        <w:rPr>
          <w:rFonts w:eastAsia="Times New Roman"/>
          <w:color w:val="000000" w:themeColor="text1"/>
          <w:spacing w:val="-5"/>
        </w:rPr>
        <w:t>«</w:t>
      </w:r>
      <w:r w:rsidR="009F63AB">
        <w:rPr>
          <w:rFonts w:eastAsia="Times New Roman"/>
          <w:color w:val="000000" w:themeColor="text1"/>
          <w:spacing w:val="-5"/>
        </w:rPr>
        <w:t> </w:t>
      </w:r>
      <w:r w:rsidRPr="00A627C4">
        <w:rPr>
          <w:rFonts w:eastAsia="Times New Roman"/>
          <w:color w:val="000000" w:themeColor="text1"/>
          <w:spacing w:val="-5"/>
        </w:rPr>
        <w:t>grève</w:t>
      </w:r>
      <w:r w:rsidR="009F63AB">
        <w:rPr>
          <w:rFonts w:eastAsia="Times New Roman"/>
          <w:color w:val="000000" w:themeColor="text1"/>
          <w:spacing w:val="-5"/>
        </w:rPr>
        <w:t> </w:t>
      </w:r>
      <w:r>
        <w:rPr>
          <w:rFonts w:eastAsia="Times New Roman"/>
          <w:color w:val="000000" w:themeColor="text1"/>
          <w:spacing w:val="-5"/>
        </w:rPr>
        <w:t>»</w:t>
      </w:r>
      <w:r w:rsidRPr="00A627C4">
        <w:rPr>
          <w:rFonts w:eastAsia="Times New Roman"/>
          <w:color w:val="000000" w:themeColor="text1"/>
          <w:spacing w:val="-5"/>
        </w:rPr>
        <w:t xml:space="preserve"> selon l’article</w:t>
      </w:r>
      <w:r w:rsidR="009F63AB">
        <w:rPr>
          <w:rFonts w:eastAsia="Times New Roman"/>
          <w:color w:val="000000" w:themeColor="text1"/>
          <w:spacing w:val="-5"/>
        </w:rPr>
        <w:t> </w:t>
      </w:r>
      <w:r w:rsidRPr="00A627C4">
        <w:rPr>
          <w:rFonts w:eastAsia="Times New Roman"/>
          <w:color w:val="000000" w:themeColor="text1"/>
          <w:spacing w:val="-5"/>
        </w:rPr>
        <w:t xml:space="preserve">8 du </w:t>
      </w:r>
      <w:r w:rsidRPr="003B6AAE">
        <w:rPr>
          <w:rFonts w:eastAsia="Times New Roman"/>
          <w:i/>
          <w:iCs/>
          <w:color w:val="000000" w:themeColor="text1"/>
          <w:spacing w:val="-5"/>
        </w:rPr>
        <w:t>Pacte</w:t>
      </w:r>
      <w:r w:rsidRPr="00A627C4">
        <w:rPr>
          <w:rFonts w:eastAsia="Times New Roman"/>
          <w:color w:val="000000" w:themeColor="text1"/>
          <w:spacing w:val="-5"/>
        </w:rPr>
        <w:t xml:space="preserve">. </w:t>
      </w:r>
    </w:p>
    <w:p w14:paraId="294C4D3F" w14:textId="251A13F2" w:rsidR="00AD0794" w:rsidRPr="00AD0794" w:rsidRDefault="1CA33EC3" w:rsidP="00AD0794">
      <w:pPr>
        <w:pStyle w:val="ListParagraph"/>
        <w:numPr>
          <w:ilvl w:val="0"/>
          <w:numId w:val="7"/>
        </w:numPr>
        <w:spacing w:after="240" w:line="480" w:lineRule="auto"/>
        <w:ind w:left="0" w:firstLine="357"/>
        <w:jc w:val="both"/>
      </w:pPr>
      <w:r w:rsidRPr="00A627C4">
        <w:rPr>
          <w:spacing w:val="-5"/>
        </w:rPr>
        <w:t xml:space="preserve">À la base, </w:t>
      </w:r>
      <w:r>
        <w:rPr>
          <w:spacing w:val="-5"/>
        </w:rPr>
        <w:t>«</w:t>
      </w:r>
      <w:r w:rsidR="009F63AB">
        <w:rPr>
          <w:spacing w:val="-5"/>
        </w:rPr>
        <w:t> </w:t>
      </w:r>
      <w:r w:rsidRPr="00A627C4">
        <w:rPr>
          <w:spacing w:val="-5"/>
        </w:rPr>
        <w:t xml:space="preserve">[l]es </w:t>
      </w:r>
      <w:r w:rsidRPr="07ABB96B">
        <w:rPr>
          <w:i/>
          <w:iCs/>
          <w:spacing w:val="-5"/>
        </w:rPr>
        <w:t xml:space="preserve">hartals </w:t>
      </w:r>
      <w:r w:rsidRPr="00A627C4">
        <w:rPr>
          <w:spacing w:val="-5"/>
        </w:rPr>
        <w:t>désignent des grèves et des protestations générales et nationales, qui impliquent notamment l’interruption de la circulation et la fermeture des marchés, des magasins et des lieux de travail pendant un certain temps</w:t>
      </w:r>
      <w:r w:rsidR="009F63AB">
        <w:rPr>
          <w:spacing w:val="-5"/>
        </w:rPr>
        <w:t> </w:t>
      </w:r>
      <w:r>
        <w:rPr>
          <w:spacing w:val="-5"/>
        </w:rPr>
        <w:t>»</w:t>
      </w:r>
      <w:r w:rsidRPr="00A627C4">
        <w:rPr>
          <w:spacing w:val="-5"/>
        </w:rPr>
        <w:t xml:space="preserve">. Ainsi, les </w:t>
      </w:r>
      <w:r w:rsidRPr="07ABB96B">
        <w:rPr>
          <w:i/>
          <w:iCs/>
          <w:spacing w:val="-5"/>
        </w:rPr>
        <w:t xml:space="preserve">hartals </w:t>
      </w:r>
      <w:r w:rsidRPr="00A627C4">
        <w:rPr>
          <w:spacing w:val="-5"/>
        </w:rPr>
        <w:t xml:space="preserve">sont des grèves. Or, les décisions de l’agent A. Ali doivent être prises à la lumière du droit canadien et des obligations internationales du Canada. Même si les </w:t>
      </w:r>
      <w:r w:rsidRPr="07ABB96B">
        <w:rPr>
          <w:i/>
          <w:iCs/>
          <w:spacing w:val="-5"/>
        </w:rPr>
        <w:t>hartals</w:t>
      </w:r>
      <w:r w:rsidRPr="00A627C4">
        <w:rPr>
          <w:spacing w:val="-5"/>
        </w:rPr>
        <w:t xml:space="preserve"> ont dégénéré en causant une éruption de violence, les </w:t>
      </w:r>
      <w:r w:rsidRPr="07ABB96B">
        <w:rPr>
          <w:i/>
          <w:iCs/>
          <w:spacing w:val="-5"/>
        </w:rPr>
        <w:t>hartals</w:t>
      </w:r>
      <w:r w:rsidRPr="00A627C4">
        <w:rPr>
          <w:spacing w:val="-5"/>
        </w:rPr>
        <w:t xml:space="preserve">, et plus généralement les grèves, restent un outil politique reconnu par le Bangladesh et par le Canada. </w:t>
      </w:r>
      <w:r w:rsidR="001449D4">
        <w:t xml:space="preserve">Il n’y a pas lieu de se demander si les </w:t>
      </w:r>
      <w:r w:rsidR="001449D4">
        <w:rPr>
          <w:i/>
          <w:iCs/>
        </w:rPr>
        <w:t xml:space="preserve">hartals </w:t>
      </w:r>
      <w:r w:rsidR="001449D4">
        <w:t>sont permis au Bangladesh ou non. Le Canada, pour sa part, reconnaît le droit de grève.</w:t>
      </w:r>
    </w:p>
    <w:p w14:paraId="712F6EA8" w14:textId="6D54A39D" w:rsidR="004D39D8" w:rsidRPr="00AD0794" w:rsidRDefault="009B38E2" w:rsidP="00AD0794">
      <w:pPr>
        <w:pStyle w:val="ListParagraph"/>
        <w:numPr>
          <w:ilvl w:val="0"/>
          <w:numId w:val="9"/>
        </w:numPr>
        <w:spacing w:after="240"/>
        <w:jc w:val="both"/>
        <w:rPr>
          <w:rFonts w:eastAsia="Times New Roman"/>
          <w:b/>
          <w:bCs/>
          <w:spacing w:val="-5"/>
        </w:rPr>
      </w:pPr>
      <w:r w:rsidRPr="00A627C4">
        <w:rPr>
          <w:rFonts w:eastAsia="Times New Roman"/>
          <w:b/>
          <w:bCs/>
          <w:spacing w:val="-5"/>
        </w:rPr>
        <w:t>La défense de contrainte peut être soulevée</w:t>
      </w:r>
      <w:r w:rsidR="00D6184F" w:rsidRPr="00A627C4">
        <w:rPr>
          <w:rFonts w:eastAsia="Times New Roman"/>
          <w:b/>
          <w:bCs/>
          <w:spacing w:val="-5"/>
        </w:rPr>
        <w:t xml:space="preserve"> pour annuler une conclusion selon laquelle il y avait appartenance à une organisation au sens de l’alinéa</w:t>
      </w:r>
      <w:r w:rsidR="00E0138D">
        <w:rPr>
          <w:rFonts w:eastAsia="Times New Roman"/>
          <w:b/>
          <w:bCs/>
          <w:spacing w:val="-5"/>
        </w:rPr>
        <w:t> </w:t>
      </w:r>
      <w:r w:rsidR="00D6184F" w:rsidRPr="00A627C4">
        <w:rPr>
          <w:rFonts w:eastAsia="Times New Roman"/>
          <w:b/>
          <w:bCs/>
          <w:spacing w:val="-5"/>
        </w:rPr>
        <w:t>34</w:t>
      </w:r>
      <w:r w:rsidR="00E0138D">
        <w:rPr>
          <w:rFonts w:eastAsia="Times New Roman"/>
          <w:b/>
          <w:bCs/>
          <w:spacing w:val="-5"/>
        </w:rPr>
        <w:t xml:space="preserve"> </w:t>
      </w:r>
      <w:r w:rsidR="00D6184F" w:rsidRPr="00A627C4">
        <w:rPr>
          <w:rFonts w:eastAsia="Times New Roman"/>
          <w:b/>
          <w:bCs/>
          <w:spacing w:val="-5"/>
        </w:rPr>
        <w:t>(1) f) LIPR</w:t>
      </w:r>
    </w:p>
    <w:p w14:paraId="3B3C64CD" w14:textId="510DFFEA" w:rsidR="00597736" w:rsidRPr="00A627C4" w:rsidRDefault="294AAFC9" w:rsidP="0004256F">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Dans l’évaluation de l’assujettissement de M.</w:t>
      </w:r>
      <w:r w:rsidR="00E0138D">
        <w:rPr>
          <w:rFonts w:eastAsia="Times New Roman"/>
          <w:spacing w:val="-5"/>
        </w:rPr>
        <w:t> </w:t>
      </w:r>
      <w:r w:rsidRPr="00A627C4">
        <w:rPr>
          <w:rFonts w:eastAsia="Times New Roman"/>
          <w:spacing w:val="-5"/>
        </w:rPr>
        <w:t>Chowdhury</w:t>
      </w:r>
      <w:r w:rsidR="4D900DED" w:rsidRPr="00A627C4">
        <w:rPr>
          <w:rFonts w:eastAsia="Times New Roman"/>
          <w:spacing w:val="-5"/>
        </w:rPr>
        <w:t xml:space="preserve"> au paragraphe</w:t>
      </w:r>
      <w:r w:rsidR="00E0138D">
        <w:rPr>
          <w:rFonts w:eastAsia="Times New Roman"/>
          <w:spacing w:val="-5"/>
        </w:rPr>
        <w:t> </w:t>
      </w:r>
      <w:r w:rsidR="4D900DED" w:rsidRPr="00A627C4">
        <w:rPr>
          <w:rFonts w:eastAsia="Times New Roman"/>
          <w:spacing w:val="-5"/>
        </w:rPr>
        <w:t>34</w:t>
      </w:r>
      <w:r w:rsidR="00E0138D">
        <w:rPr>
          <w:rFonts w:eastAsia="Times New Roman"/>
          <w:spacing w:val="-5"/>
        </w:rPr>
        <w:t xml:space="preserve"> </w:t>
      </w:r>
      <w:r w:rsidR="4D900DED" w:rsidRPr="00A627C4">
        <w:rPr>
          <w:rFonts w:eastAsia="Times New Roman"/>
          <w:spacing w:val="-5"/>
        </w:rPr>
        <w:t>(1)</w:t>
      </w:r>
      <w:r w:rsidR="3DAA06FD">
        <w:rPr>
          <w:rFonts w:eastAsia="Times New Roman"/>
          <w:spacing w:val="-5"/>
        </w:rPr>
        <w:t xml:space="preserve"> de la LIPR</w:t>
      </w:r>
      <w:r w:rsidR="4D900DED" w:rsidRPr="00A627C4">
        <w:rPr>
          <w:rFonts w:eastAsia="Times New Roman"/>
          <w:spacing w:val="-5"/>
        </w:rPr>
        <w:t xml:space="preserve">, la deuxième étape était </w:t>
      </w:r>
      <w:r w:rsidR="47321D89" w:rsidRPr="00A627C4">
        <w:rPr>
          <w:rFonts w:eastAsia="Times New Roman"/>
          <w:spacing w:val="-5"/>
        </w:rPr>
        <w:t>de vérifier si sa situation correspondait à ce qui est prévu à l’alinéa</w:t>
      </w:r>
      <w:r w:rsidR="00E0138D">
        <w:rPr>
          <w:rFonts w:eastAsia="Times New Roman"/>
          <w:spacing w:val="-5"/>
        </w:rPr>
        <w:t> </w:t>
      </w:r>
      <w:r w:rsidR="47321D89" w:rsidRPr="00A627C4">
        <w:rPr>
          <w:rFonts w:eastAsia="Times New Roman"/>
          <w:spacing w:val="-5"/>
        </w:rPr>
        <w:t>34</w:t>
      </w:r>
      <w:r w:rsidR="00E0138D">
        <w:rPr>
          <w:rFonts w:eastAsia="Times New Roman"/>
          <w:spacing w:val="-5"/>
        </w:rPr>
        <w:t xml:space="preserve"> </w:t>
      </w:r>
      <w:r w:rsidR="47321D89" w:rsidRPr="00A627C4">
        <w:rPr>
          <w:rFonts w:eastAsia="Times New Roman"/>
          <w:spacing w:val="-5"/>
        </w:rPr>
        <w:t>(1) f)</w:t>
      </w:r>
      <w:r w:rsidR="3DAA06FD">
        <w:rPr>
          <w:rFonts w:eastAsia="Times New Roman"/>
          <w:spacing w:val="-5"/>
        </w:rPr>
        <w:t xml:space="preserve"> de la LIPR</w:t>
      </w:r>
      <w:r w:rsidR="47321D89" w:rsidRPr="00A627C4">
        <w:rPr>
          <w:rFonts w:eastAsia="Times New Roman"/>
          <w:spacing w:val="-5"/>
        </w:rPr>
        <w:t xml:space="preserve">, soit le fait </w:t>
      </w:r>
      <w:r w:rsidR="1D133BA4" w:rsidRPr="00A627C4">
        <w:rPr>
          <w:rFonts w:eastAsia="Times New Roman"/>
          <w:spacing w:val="-5"/>
        </w:rPr>
        <w:t>d’«</w:t>
      </w:r>
      <w:r w:rsidR="00E0138D">
        <w:rPr>
          <w:rFonts w:eastAsia="Times New Roman"/>
          <w:spacing w:val="-5"/>
        </w:rPr>
        <w:t> </w:t>
      </w:r>
      <w:r w:rsidR="47321D89" w:rsidRPr="00A627C4">
        <w:rPr>
          <w:rFonts w:eastAsia="Times New Roman"/>
          <w:spacing w:val="-5"/>
        </w:rPr>
        <w:t>être membre d’une organisation dont il y a des motifs raisonnables de croire qu’elle est, a été ou sera</w:t>
      </w:r>
      <w:r w:rsidR="49A179D9" w:rsidRPr="00A627C4">
        <w:rPr>
          <w:rFonts w:eastAsia="Times New Roman"/>
          <w:spacing w:val="-5"/>
        </w:rPr>
        <w:t xml:space="preserve"> l’auteur</w:t>
      </w:r>
      <w:r w:rsidR="00E0138D">
        <w:rPr>
          <w:rFonts w:eastAsia="Times New Roman"/>
          <w:spacing w:val="-5"/>
        </w:rPr>
        <w:t> </w:t>
      </w:r>
      <w:r w:rsidR="49A179D9" w:rsidRPr="00A627C4">
        <w:rPr>
          <w:rFonts w:eastAsia="Times New Roman"/>
          <w:spacing w:val="-5"/>
        </w:rPr>
        <w:t>» d’actes visant au renversement d’un gouvernement par la force.</w:t>
      </w:r>
      <w:r w:rsidR="350931D6" w:rsidRPr="00A627C4">
        <w:rPr>
          <w:rFonts w:eastAsia="Times New Roman"/>
          <w:spacing w:val="-5"/>
        </w:rPr>
        <w:t xml:space="preserve"> </w:t>
      </w:r>
    </w:p>
    <w:p w14:paraId="1C1486B3" w14:textId="598E3298" w:rsidR="002C6A9A" w:rsidRPr="00AD0794" w:rsidRDefault="00597736" w:rsidP="00AD0794">
      <w:pPr>
        <w:pStyle w:val="ListParagraph"/>
        <w:numPr>
          <w:ilvl w:val="1"/>
          <w:numId w:val="8"/>
        </w:numPr>
        <w:spacing w:after="240"/>
        <w:jc w:val="both"/>
        <w:rPr>
          <w:rFonts w:eastAsia="Times New Roman"/>
          <w:b/>
          <w:bCs/>
          <w:spacing w:val="-5"/>
        </w:rPr>
      </w:pPr>
      <w:r w:rsidRPr="00A627C4">
        <w:rPr>
          <w:rFonts w:eastAsia="Times New Roman"/>
          <w:b/>
          <w:bCs/>
          <w:spacing w:val="-5"/>
        </w:rPr>
        <w:t> Les critères d’appartenance</w:t>
      </w:r>
    </w:p>
    <w:p w14:paraId="5411FA3A" w14:textId="014E5CD9" w:rsidR="00603541" w:rsidRDefault="678EBDF7" w:rsidP="0004256F">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Bien que la jurisprudence </w:t>
      </w:r>
      <w:r w:rsidR="7A876FE8" w:rsidRPr="00A627C4">
        <w:rPr>
          <w:rFonts w:eastAsia="Times New Roman"/>
          <w:spacing w:val="-5"/>
        </w:rPr>
        <w:t>soit</w:t>
      </w:r>
      <w:r w:rsidRPr="00A627C4">
        <w:rPr>
          <w:rFonts w:eastAsia="Times New Roman"/>
          <w:spacing w:val="-5"/>
        </w:rPr>
        <w:t xml:space="preserve"> constante </w:t>
      </w:r>
      <w:r w:rsidR="00E0138D">
        <w:rPr>
          <w:rFonts w:eastAsia="Times New Roman"/>
          <w:spacing w:val="-5"/>
        </w:rPr>
        <w:t>indiquant</w:t>
      </w:r>
      <w:r w:rsidRPr="00A627C4">
        <w:rPr>
          <w:rFonts w:eastAsia="Times New Roman"/>
          <w:spacing w:val="-5"/>
        </w:rPr>
        <w:t xml:space="preserve"> que </w:t>
      </w:r>
      <w:r w:rsidR="494354A2" w:rsidRPr="00A627C4">
        <w:rPr>
          <w:rFonts w:eastAsia="Times New Roman"/>
          <w:spacing w:val="-5"/>
        </w:rPr>
        <w:t>le mot «</w:t>
      </w:r>
      <w:r w:rsidR="00E0138D">
        <w:rPr>
          <w:rFonts w:eastAsia="Times New Roman"/>
          <w:spacing w:val="-5"/>
        </w:rPr>
        <w:t> </w:t>
      </w:r>
      <w:r w:rsidR="494354A2" w:rsidRPr="00A627C4">
        <w:rPr>
          <w:rFonts w:eastAsia="Times New Roman"/>
          <w:spacing w:val="-5"/>
        </w:rPr>
        <w:t>membre</w:t>
      </w:r>
      <w:r w:rsidR="00E0138D">
        <w:rPr>
          <w:rFonts w:eastAsia="Times New Roman"/>
          <w:spacing w:val="-5"/>
        </w:rPr>
        <w:t> </w:t>
      </w:r>
      <w:r w:rsidR="494354A2" w:rsidRPr="00A627C4">
        <w:rPr>
          <w:rFonts w:eastAsia="Times New Roman"/>
          <w:spacing w:val="-5"/>
        </w:rPr>
        <w:t>» doive être interprété d’une manière libérale</w:t>
      </w:r>
      <w:r w:rsidR="0020358A" w:rsidRPr="00A627C4">
        <w:rPr>
          <w:rStyle w:val="FootnoteReference"/>
          <w:rFonts w:eastAsia="Times New Roman"/>
          <w:spacing w:val="-5"/>
        </w:rPr>
        <w:footnoteReference w:id="69"/>
      </w:r>
      <w:r w:rsidR="105476CC" w:rsidRPr="00A627C4">
        <w:rPr>
          <w:rFonts w:eastAsia="Times New Roman"/>
          <w:spacing w:val="-5"/>
        </w:rPr>
        <w:t xml:space="preserve">, </w:t>
      </w:r>
      <w:r w:rsidR="209FE2E9" w:rsidRPr="00A627C4">
        <w:rPr>
          <w:rFonts w:eastAsia="Times New Roman"/>
          <w:spacing w:val="-5"/>
        </w:rPr>
        <w:t>d</w:t>
      </w:r>
      <w:r w:rsidR="5AAEC7D3" w:rsidRPr="00A627C4">
        <w:rPr>
          <w:rFonts w:eastAsia="Times New Roman"/>
          <w:spacing w:val="-5"/>
        </w:rPr>
        <w:t xml:space="preserve">es critères </w:t>
      </w:r>
      <w:r w:rsidR="7166FA12" w:rsidRPr="00A627C4">
        <w:rPr>
          <w:rFonts w:eastAsia="Times New Roman"/>
          <w:spacing w:val="-5"/>
        </w:rPr>
        <w:t>précis ont été énumérés</w:t>
      </w:r>
      <w:r w:rsidR="5FDF421A" w:rsidRPr="00A627C4">
        <w:rPr>
          <w:rFonts w:eastAsia="Times New Roman"/>
          <w:spacing w:val="-5"/>
        </w:rPr>
        <w:t xml:space="preserve"> </w:t>
      </w:r>
      <w:r w:rsidR="530CA177" w:rsidRPr="00A627C4">
        <w:rPr>
          <w:rFonts w:eastAsia="Times New Roman"/>
          <w:spacing w:val="-5"/>
        </w:rPr>
        <w:t xml:space="preserve">pour guider l’évaluation de la situation des demandeurs. </w:t>
      </w:r>
      <w:r w:rsidR="22570C27" w:rsidRPr="00A627C4">
        <w:rPr>
          <w:rFonts w:eastAsia="Times New Roman"/>
          <w:spacing w:val="-5"/>
        </w:rPr>
        <w:t>L’interprétation libérale «</w:t>
      </w:r>
      <w:r w:rsidR="00E0138D">
        <w:rPr>
          <w:rFonts w:eastAsia="Times New Roman"/>
          <w:spacing w:val="-5"/>
        </w:rPr>
        <w:t> </w:t>
      </w:r>
      <w:r w:rsidR="22570C27" w:rsidRPr="00A627C4">
        <w:rPr>
          <w:rFonts w:eastAsia="Times New Roman"/>
          <w:spacing w:val="-5"/>
        </w:rPr>
        <w:t>ne donne pas carte blanche au décideur</w:t>
      </w:r>
      <w:r w:rsidR="00E0138D">
        <w:rPr>
          <w:rFonts w:eastAsia="Times New Roman"/>
          <w:spacing w:val="-5"/>
        </w:rPr>
        <w:t> </w:t>
      </w:r>
      <w:r w:rsidR="22570C27" w:rsidRPr="00A627C4">
        <w:rPr>
          <w:rFonts w:eastAsia="Times New Roman"/>
          <w:spacing w:val="-5"/>
        </w:rPr>
        <w:t>»</w:t>
      </w:r>
      <w:r w:rsidR="00C52611" w:rsidRPr="00A627C4">
        <w:rPr>
          <w:rStyle w:val="FootnoteReference"/>
          <w:rFonts w:eastAsia="Times New Roman"/>
          <w:spacing w:val="-5"/>
        </w:rPr>
        <w:footnoteReference w:id="70"/>
      </w:r>
      <w:r w:rsidR="3C4308DB" w:rsidRPr="00A627C4">
        <w:rPr>
          <w:rFonts w:eastAsia="Times New Roman"/>
          <w:spacing w:val="-5"/>
        </w:rPr>
        <w:t xml:space="preserve">. Elle doit être effectuée selon le contexte factuel de chaque affaire. </w:t>
      </w:r>
    </w:p>
    <w:p w14:paraId="13B4C5C0" w14:textId="5197C11C" w:rsidR="001637E3" w:rsidRPr="001637E3" w:rsidRDefault="001637E3" w:rsidP="001637E3">
      <w:pPr>
        <w:pStyle w:val="ListParagraph"/>
        <w:numPr>
          <w:ilvl w:val="0"/>
          <w:numId w:val="7"/>
        </w:numPr>
        <w:spacing w:after="240" w:line="480" w:lineRule="auto"/>
        <w:ind w:left="0" w:firstLine="357"/>
        <w:jc w:val="both"/>
        <w:rPr>
          <w:rFonts w:eastAsia="Times New Roman"/>
          <w:spacing w:val="-5"/>
        </w:rPr>
      </w:pPr>
      <w:r>
        <w:rPr>
          <w:rFonts w:eastAsia="Times New Roman"/>
          <w:spacing w:val="-5"/>
        </w:rPr>
        <w:t xml:space="preserve">En premier lieu, comme l’avance le juge Mandamin, dans l’affaire </w:t>
      </w:r>
      <w:r w:rsidRPr="5A7C6FB1">
        <w:rPr>
          <w:rFonts w:eastAsia="Times New Roman"/>
          <w:i/>
          <w:iCs/>
          <w:spacing w:val="-5"/>
        </w:rPr>
        <w:t xml:space="preserve">El Werfalli, </w:t>
      </w:r>
      <w:r>
        <w:rPr>
          <w:rFonts w:eastAsia="Times New Roman"/>
          <w:spacing w:val="-5"/>
        </w:rPr>
        <w:t>il ne suffit pas de traiter les étapes de l’assujettissement du PNB à l’alinéa 34</w:t>
      </w:r>
      <w:r w:rsidR="00E0138D">
        <w:rPr>
          <w:rFonts w:eastAsia="Times New Roman"/>
          <w:spacing w:val="-5"/>
        </w:rPr>
        <w:t xml:space="preserve"> </w:t>
      </w:r>
      <w:r>
        <w:rPr>
          <w:rFonts w:eastAsia="Times New Roman"/>
          <w:spacing w:val="-5"/>
        </w:rPr>
        <w:t>(1) b) de la LIPR et de l’assujettissement de M.</w:t>
      </w:r>
      <w:r w:rsidR="00E0138D">
        <w:rPr>
          <w:rFonts w:eastAsia="Times New Roman"/>
          <w:spacing w:val="-5"/>
        </w:rPr>
        <w:t> </w:t>
      </w:r>
      <w:r>
        <w:rPr>
          <w:rFonts w:eastAsia="Times New Roman"/>
          <w:spacing w:val="-5"/>
        </w:rPr>
        <w:t>Chowdhury à l’alinéa</w:t>
      </w:r>
      <w:r w:rsidR="00E0138D">
        <w:rPr>
          <w:rFonts w:eastAsia="Times New Roman"/>
          <w:spacing w:val="-5"/>
        </w:rPr>
        <w:t> </w:t>
      </w:r>
      <w:r>
        <w:rPr>
          <w:rFonts w:eastAsia="Times New Roman"/>
          <w:spacing w:val="-5"/>
        </w:rPr>
        <w:t>34</w:t>
      </w:r>
      <w:r w:rsidR="00E0138D">
        <w:rPr>
          <w:rFonts w:eastAsia="Times New Roman"/>
          <w:spacing w:val="-5"/>
        </w:rPr>
        <w:t xml:space="preserve"> </w:t>
      </w:r>
      <w:r>
        <w:rPr>
          <w:rFonts w:eastAsia="Times New Roman"/>
          <w:spacing w:val="-5"/>
        </w:rPr>
        <w:t xml:space="preserve">(1) f) de la LIPR </w:t>
      </w:r>
      <w:r w:rsidR="000D20ED">
        <w:rPr>
          <w:rFonts w:eastAsia="Times New Roman"/>
          <w:spacing w:val="-5"/>
        </w:rPr>
        <w:t xml:space="preserve">en tant que </w:t>
      </w:r>
      <w:r>
        <w:rPr>
          <w:rFonts w:eastAsia="Times New Roman"/>
          <w:spacing w:val="-5"/>
        </w:rPr>
        <w:t>membre du PNB comme des étapes menant à «</w:t>
      </w:r>
      <w:r w:rsidR="00E0138D">
        <w:rPr>
          <w:rFonts w:eastAsia="Times New Roman"/>
          <w:spacing w:val="-5"/>
        </w:rPr>
        <w:t> </w:t>
      </w:r>
      <w:r>
        <w:rPr>
          <w:rFonts w:eastAsia="Times New Roman"/>
          <w:spacing w:val="-5"/>
        </w:rPr>
        <w:t>deux conclusions distinctes et indépendantes</w:t>
      </w:r>
      <w:r w:rsidR="00E0138D">
        <w:rPr>
          <w:rFonts w:eastAsia="Times New Roman"/>
          <w:spacing w:val="-5"/>
        </w:rPr>
        <w:t> </w:t>
      </w:r>
      <w:r>
        <w:rPr>
          <w:rFonts w:eastAsia="Times New Roman"/>
          <w:spacing w:val="-5"/>
        </w:rPr>
        <w:t>». En réalité, l’alinéa</w:t>
      </w:r>
      <w:r w:rsidR="00E0138D">
        <w:rPr>
          <w:rFonts w:eastAsia="Times New Roman"/>
          <w:spacing w:val="-5"/>
        </w:rPr>
        <w:t> </w:t>
      </w:r>
      <w:r>
        <w:rPr>
          <w:rFonts w:eastAsia="Times New Roman"/>
          <w:spacing w:val="-5"/>
        </w:rPr>
        <w:t>34</w:t>
      </w:r>
      <w:r w:rsidR="00E0138D">
        <w:rPr>
          <w:rFonts w:eastAsia="Times New Roman"/>
          <w:spacing w:val="-5"/>
        </w:rPr>
        <w:t xml:space="preserve"> </w:t>
      </w:r>
      <w:r>
        <w:rPr>
          <w:rFonts w:eastAsia="Times New Roman"/>
          <w:spacing w:val="-5"/>
        </w:rPr>
        <w:t>(1) f) de la LIPR est une «</w:t>
      </w:r>
      <w:r w:rsidR="00E0138D">
        <w:rPr>
          <w:rFonts w:eastAsia="Times New Roman"/>
          <w:spacing w:val="-5"/>
        </w:rPr>
        <w:t> </w:t>
      </w:r>
      <w:r>
        <w:rPr>
          <w:rFonts w:eastAsia="Times New Roman"/>
          <w:spacing w:val="-5"/>
        </w:rPr>
        <w:t xml:space="preserve">disposition </w:t>
      </w:r>
      <w:r w:rsidRPr="00022C57">
        <w:rPr>
          <w:rFonts w:eastAsia="Times New Roman"/>
          <w:spacing w:val="-5"/>
        </w:rPr>
        <w:t>unique exigeant la prise en compte de tous ses éléments d</w:t>
      </w:r>
      <w:r w:rsidR="00E0138D">
        <w:rPr>
          <w:rFonts w:eastAsia="Times New Roman"/>
          <w:spacing w:val="-5"/>
        </w:rPr>
        <w:t>’</w:t>
      </w:r>
      <w:r w:rsidRPr="00022C57">
        <w:rPr>
          <w:rFonts w:eastAsia="Times New Roman"/>
          <w:spacing w:val="-5"/>
        </w:rPr>
        <w:t>une façon intégrée</w:t>
      </w:r>
      <w:r w:rsidR="00E0138D">
        <w:rPr>
          <w:rFonts w:eastAsia="Times New Roman"/>
          <w:spacing w:val="-5"/>
        </w:rPr>
        <w:t> </w:t>
      </w:r>
      <w:r>
        <w:rPr>
          <w:rFonts w:eastAsia="Times New Roman"/>
          <w:spacing w:val="-5"/>
        </w:rPr>
        <w:t>».</w:t>
      </w:r>
      <w:r w:rsidR="004C2666">
        <w:rPr>
          <w:rFonts w:eastAsia="Times New Roman"/>
          <w:spacing w:val="-5"/>
        </w:rPr>
        <w:t xml:space="preserve"> </w:t>
      </w:r>
      <w:r w:rsidR="00CD58B2">
        <w:rPr>
          <w:rFonts w:eastAsia="Times New Roman"/>
          <w:spacing w:val="-5"/>
        </w:rPr>
        <w:t>En ce sens</w:t>
      </w:r>
      <w:r w:rsidR="009100DF">
        <w:rPr>
          <w:rFonts w:eastAsia="Times New Roman"/>
          <w:spacing w:val="-5"/>
        </w:rPr>
        <w:t>, «</w:t>
      </w:r>
      <w:r w:rsidR="00E0138D">
        <w:rPr>
          <w:rFonts w:eastAsia="Times New Roman"/>
          <w:spacing w:val="-5"/>
        </w:rPr>
        <w:t> </w:t>
      </w:r>
      <w:r w:rsidR="009100DF">
        <w:rPr>
          <w:rFonts w:eastAsia="Times New Roman"/>
          <w:spacing w:val="-5"/>
        </w:rPr>
        <w:t>appartenir à une organisation suppose l’approbation de celle-ci, de ses buts et de son action</w:t>
      </w:r>
      <w:r w:rsidR="00E0138D">
        <w:rPr>
          <w:rFonts w:eastAsia="Times New Roman"/>
          <w:spacing w:val="-5"/>
        </w:rPr>
        <w:t> </w:t>
      </w:r>
      <w:r w:rsidR="009100DF">
        <w:rPr>
          <w:rFonts w:eastAsia="Times New Roman"/>
          <w:spacing w:val="-5"/>
        </w:rPr>
        <w:t>»</w:t>
      </w:r>
      <w:r w:rsidR="001839C0">
        <w:rPr>
          <w:rStyle w:val="FootnoteReference"/>
          <w:rFonts w:eastAsia="Times New Roman"/>
          <w:spacing w:val="-5"/>
        </w:rPr>
        <w:footnoteReference w:id="71"/>
      </w:r>
      <w:r w:rsidR="00EA2FDB">
        <w:rPr>
          <w:rFonts w:eastAsia="Times New Roman"/>
          <w:spacing w:val="-5"/>
        </w:rPr>
        <w:t xml:space="preserve">. </w:t>
      </w:r>
      <w:r w:rsidR="005F6312">
        <w:rPr>
          <w:rFonts w:eastAsia="Times New Roman"/>
          <w:spacing w:val="-5"/>
        </w:rPr>
        <w:t xml:space="preserve">L’agent avait donc </w:t>
      </w:r>
      <w:r w:rsidR="005D344B">
        <w:rPr>
          <w:rFonts w:eastAsia="Times New Roman"/>
          <w:spacing w:val="-5"/>
        </w:rPr>
        <w:t>un double</w:t>
      </w:r>
      <w:r w:rsidR="005F6312">
        <w:rPr>
          <w:rFonts w:eastAsia="Times New Roman"/>
          <w:spacing w:val="-5"/>
        </w:rPr>
        <w:t xml:space="preserve"> fardeau</w:t>
      </w:r>
      <w:r w:rsidR="00EB7A03">
        <w:rPr>
          <w:rFonts w:eastAsia="Times New Roman"/>
          <w:spacing w:val="-5"/>
        </w:rPr>
        <w:t xml:space="preserve"> de déterminer </w:t>
      </w:r>
      <w:r w:rsidR="000345DE">
        <w:rPr>
          <w:rFonts w:eastAsia="Times New Roman"/>
          <w:spacing w:val="-5"/>
        </w:rPr>
        <w:t xml:space="preserve">(1) </w:t>
      </w:r>
      <w:r w:rsidR="00EB7A03">
        <w:rPr>
          <w:rFonts w:eastAsia="Times New Roman"/>
          <w:spacing w:val="-5"/>
        </w:rPr>
        <w:t>si le</w:t>
      </w:r>
      <w:r w:rsidR="00E40A88">
        <w:rPr>
          <w:rFonts w:eastAsia="Times New Roman"/>
          <w:spacing w:val="-5"/>
        </w:rPr>
        <w:t xml:space="preserve"> PNB était une organisation visée par l’alinéa 34</w:t>
      </w:r>
      <w:r w:rsidR="00E0138D">
        <w:rPr>
          <w:rFonts w:eastAsia="Times New Roman"/>
          <w:spacing w:val="-5"/>
        </w:rPr>
        <w:t xml:space="preserve"> </w:t>
      </w:r>
      <w:r w:rsidR="00E40A88">
        <w:rPr>
          <w:rFonts w:eastAsia="Times New Roman"/>
          <w:spacing w:val="-5"/>
        </w:rPr>
        <w:t xml:space="preserve">(1) b) de la LIPR, </w:t>
      </w:r>
      <w:r w:rsidR="00DC515B">
        <w:rPr>
          <w:rFonts w:eastAsia="Times New Roman"/>
          <w:spacing w:val="-5"/>
        </w:rPr>
        <w:t xml:space="preserve">et </w:t>
      </w:r>
      <w:r w:rsidR="000345DE">
        <w:rPr>
          <w:rFonts w:eastAsia="Times New Roman"/>
          <w:spacing w:val="-5"/>
        </w:rPr>
        <w:t xml:space="preserve">(2) </w:t>
      </w:r>
      <w:r w:rsidR="00E40A88">
        <w:rPr>
          <w:rFonts w:eastAsia="Times New Roman"/>
          <w:spacing w:val="-5"/>
        </w:rPr>
        <w:t>si M.</w:t>
      </w:r>
      <w:r w:rsidR="00E0138D">
        <w:rPr>
          <w:rFonts w:eastAsia="Times New Roman"/>
          <w:spacing w:val="-5"/>
        </w:rPr>
        <w:t> </w:t>
      </w:r>
      <w:r w:rsidR="00E40A88">
        <w:rPr>
          <w:rFonts w:eastAsia="Times New Roman"/>
          <w:spacing w:val="-5"/>
        </w:rPr>
        <w:t>Chowdhury en était membre en fonction du fait qu’il s’agit d’une organisation visée par l’alinéa 34</w:t>
      </w:r>
      <w:r w:rsidR="00E0138D">
        <w:rPr>
          <w:rFonts w:eastAsia="Times New Roman"/>
          <w:spacing w:val="-5"/>
        </w:rPr>
        <w:t xml:space="preserve"> </w:t>
      </w:r>
      <w:r w:rsidR="00E40A88">
        <w:rPr>
          <w:rFonts w:eastAsia="Times New Roman"/>
          <w:spacing w:val="-5"/>
        </w:rPr>
        <w:t xml:space="preserve">(1) b) de la LIPR. </w:t>
      </w:r>
      <w:r w:rsidR="00EB7A03">
        <w:rPr>
          <w:rFonts w:eastAsia="Times New Roman"/>
          <w:spacing w:val="-5"/>
        </w:rPr>
        <w:t xml:space="preserve"> </w:t>
      </w:r>
    </w:p>
    <w:p w14:paraId="28E4D77F" w14:textId="10372EF0" w:rsidR="00597736" w:rsidRPr="00A627C4" w:rsidRDefault="48BA0782" w:rsidP="0004256F">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D’abord, c</w:t>
      </w:r>
      <w:r w:rsidR="4E1B657F" w:rsidRPr="00A627C4">
        <w:rPr>
          <w:rFonts w:eastAsia="Times New Roman"/>
          <w:spacing w:val="-5"/>
        </w:rPr>
        <w:t>omme le statu</w:t>
      </w:r>
      <w:r w:rsidR="6E5E27CD" w:rsidRPr="00A627C4">
        <w:rPr>
          <w:rFonts w:eastAsia="Times New Roman"/>
          <w:spacing w:val="-5"/>
        </w:rPr>
        <w:t>e</w:t>
      </w:r>
      <w:r w:rsidR="4E1B657F" w:rsidRPr="00A627C4">
        <w:rPr>
          <w:rFonts w:eastAsia="Times New Roman"/>
          <w:spacing w:val="-5"/>
        </w:rPr>
        <w:t xml:space="preserve"> l’affaire </w:t>
      </w:r>
      <w:r w:rsidR="4E1B657F" w:rsidRPr="5A47EA4B">
        <w:rPr>
          <w:rFonts w:eastAsia="Times New Roman"/>
          <w:i/>
          <w:iCs/>
          <w:spacing w:val="-5"/>
        </w:rPr>
        <w:t xml:space="preserve">Oremade, </w:t>
      </w:r>
      <w:r w:rsidR="4E1B657F" w:rsidRPr="00A627C4">
        <w:rPr>
          <w:rFonts w:eastAsia="Times New Roman"/>
          <w:spacing w:val="-5"/>
        </w:rPr>
        <w:t>que nous avons abordé</w:t>
      </w:r>
      <w:r w:rsidR="00E0138D">
        <w:rPr>
          <w:rFonts w:eastAsia="Times New Roman"/>
          <w:spacing w:val="-5"/>
        </w:rPr>
        <w:t>e</w:t>
      </w:r>
      <w:r w:rsidR="4E1B657F" w:rsidRPr="00A627C4">
        <w:rPr>
          <w:rFonts w:eastAsia="Times New Roman"/>
          <w:spacing w:val="-5"/>
        </w:rPr>
        <w:t xml:space="preserve"> </w:t>
      </w:r>
      <w:r w:rsidR="6E5E27CD" w:rsidRPr="00A627C4">
        <w:rPr>
          <w:rFonts w:eastAsia="Times New Roman"/>
          <w:spacing w:val="-5"/>
        </w:rPr>
        <w:t>à</w:t>
      </w:r>
      <w:r w:rsidR="4E1B657F" w:rsidRPr="00A627C4">
        <w:rPr>
          <w:rFonts w:eastAsia="Times New Roman"/>
          <w:spacing w:val="-5"/>
        </w:rPr>
        <w:t xml:space="preserve"> la section</w:t>
      </w:r>
      <w:r w:rsidR="00E0138D">
        <w:rPr>
          <w:rFonts w:eastAsia="Times New Roman"/>
          <w:spacing w:val="-5"/>
        </w:rPr>
        <w:t> </w:t>
      </w:r>
      <w:r w:rsidR="1C2EDC3C" w:rsidRPr="00A627C4">
        <w:rPr>
          <w:rFonts w:eastAsia="Times New Roman"/>
          <w:spacing w:val="-5"/>
        </w:rPr>
        <w:t>2.1.2,</w:t>
      </w:r>
      <w:r w:rsidR="4E1B657F" w:rsidRPr="00A627C4">
        <w:rPr>
          <w:rFonts w:eastAsia="Times New Roman"/>
          <w:spacing w:val="-5"/>
        </w:rPr>
        <w:t xml:space="preserve"> le paragraphe</w:t>
      </w:r>
      <w:r w:rsidR="00E0138D">
        <w:rPr>
          <w:rFonts w:eastAsia="Times New Roman"/>
          <w:spacing w:val="-5"/>
        </w:rPr>
        <w:t> </w:t>
      </w:r>
      <w:r w:rsidR="1C2EDC3C" w:rsidRPr="00A627C4">
        <w:rPr>
          <w:rFonts w:eastAsia="Times New Roman"/>
          <w:spacing w:val="-5"/>
        </w:rPr>
        <w:t>34</w:t>
      </w:r>
      <w:r w:rsidR="00E0138D">
        <w:rPr>
          <w:rFonts w:eastAsia="Times New Roman"/>
          <w:spacing w:val="-5"/>
        </w:rPr>
        <w:t xml:space="preserve"> </w:t>
      </w:r>
      <w:r w:rsidR="1C2EDC3C" w:rsidRPr="00A627C4">
        <w:rPr>
          <w:rFonts w:eastAsia="Times New Roman"/>
          <w:spacing w:val="-5"/>
        </w:rPr>
        <w:t>(1) de la LIPR</w:t>
      </w:r>
      <w:r w:rsidR="4E1B657F" w:rsidRPr="00A627C4">
        <w:rPr>
          <w:rFonts w:eastAsia="Times New Roman"/>
          <w:spacing w:val="-5"/>
        </w:rPr>
        <w:t xml:space="preserve"> «</w:t>
      </w:r>
      <w:r w:rsidR="00E0138D">
        <w:rPr>
          <w:rFonts w:eastAsia="Times New Roman"/>
          <w:spacing w:val="-5"/>
        </w:rPr>
        <w:t> </w:t>
      </w:r>
      <w:r w:rsidR="4E1B657F" w:rsidRPr="00A627C4">
        <w:rPr>
          <w:rFonts w:eastAsia="Times New Roman"/>
          <w:spacing w:val="-5"/>
        </w:rPr>
        <w:t xml:space="preserve">vise à empêcher les personnes qui ont commis </w:t>
      </w:r>
      <w:r w:rsidR="4E1B657F" w:rsidRPr="00A627C4">
        <w:rPr>
          <w:rFonts w:eastAsia="Times New Roman"/>
          <w:spacing w:val="-5"/>
          <w:u w:val="single"/>
        </w:rPr>
        <w:t xml:space="preserve">de plein gré </w:t>
      </w:r>
      <w:r w:rsidR="4E1B657F" w:rsidRPr="00A627C4">
        <w:rPr>
          <w:rFonts w:eastAsia="Times New Roman"/>
          <w:spacing w:val="-5"/>
        </w:rPr>
        <w:t>certains actes d’être admises au Canada</w:t>
      </w:r>
      <w:r w:rsidR="00E0138D">
        <w:rPr>
          <w:rFonts w:eastAsia="Times New Roman"/>
          <w:spacing w:val="-5"/>
        </w:rPr>
        <w:t> </w:t>
      </w:r>
      <w:r w:rsidR="4E1B657F" w:rsidRPr="00A627C4">
        <w:rPr>
          <w:rFonts w:eastAsia="Times New Roman"/>
          <w:spacing w:val="-5"/>
        </w:rPr>
        <w:t>», ayant adopté les comportements reprochés «</w:t>
      </w:r>
      <w:r w:rsidR="00E0138D">
        <w:rPr>
          <w:rFonts w:eastAsia="Times New Roman"/>
          <w:spacing w:val="-5"/>
        </w:rPr>
        <w:t> </w:t>
      </w:r>
      <w:r w:rsidR="4E1B657F" w:rsidRPr="00A627C4">
        <w:rPr>
          <w:rFonts w:eastAsia="Times New Roman"/>
          <w:spacing w:val="-5"/>
        </w:rPr>
        <w:t>en connaissance de cause et avec l’intention de le faire</w:t>
      </w:r>
      <w:r w:rsidR="00E0138D">
        <w:rPr>
          <w:rFonts w:eastAsia="Times New Roman"/>
          <w:spacing w:val="-5"/>
        </w:rPr>
        <w:t> </w:t>
      </w:r>
      <w:r w:rsidR="4E1B657F" w:rsidRPr="00A627C4">
        <w:rPr>
          <w:rFonts w:eastAsia="Times New Roman"/>
          <w:spacing w:val="-5"/>
        </w:rPr>
        <w:t>»</w:t>
      </w:r>
      <w:r w:rsidR="002C6A9A" w:rsidRPr="00A627C4">
        <w:rPr>
          <w:rStyle w:val="FootnoteReference"/>
          <w:rFonts w:eastAsia="Times New Roman"/>
          <w:spacing w:val="-5"/>
        </w:rPr>
        <w:footnoteReference w:id="72"/>
      </w:r>
      <w:r w:rsidR="4E1B657F" w:rsidRPr="00A627C4">
        <w:rPr>
          <w:rFonts w:eastAsia="Times New Roman"/>
          <w:spacing w:val="-5"/>
        </w:rPr>
        <w:t>.</w:t>
      </w:r>
      <w:r w:rsidR="524A3948" w:rsidRPr="00A627C4">
        <w:rPr>
          <w:rFonts w:eastAsia="Times New Roman"/>
          <w:spacing w:val="-5"/>
        </w:rPr>
        <w:t xml:space="preserve"> </w:t>
      </w:r>
      <w:r w:rsidR="5E1DC6EC" w:rsidRPr="00A627C4">
        <w:rPr>
          <w:rFonts w:eastAsia="Times New Roman"/>
          <w:spacing w:val="-5"/>
        </w:rPr>
        <w:t>L’alinéa 34</w:t>
      </w:r>
      <w:r w:rsidR="00E0138D">
        <w:rPr>
          <w:rFonts w:eastAsia="Times New Roman"/>
          <w:spacing w:val="-5"/>
        </w:rPr>
        <w:t xml:space="preserve"> </w:t>
      </w:r>
      <w:r w:rsidR="5E1DC6EC" w:rsidRPr="00A627C4">
        <w:rPr>
          <w:rFonts w:eastAsia="Times New Roman"/>
          <w:spacing w:val="-5"/>
        </w:rPr>
        <w:t xml:space="preserve">(1) f) de la LIPR ne fait pas exception à ce raisonnement, </w:t>
      </w:r>
      <w:r w:rsidR="67B5D245" w:rsidRPr="00A627C4">
        <w:rPr>
          <w:rFonts w:eastAsia="Times New Roman"/>
          <w:spacing w:val="-5"/>
        </w:rPr>
        <w:t>et impose le critère d</w:t>
      </w:r>
      <w:r w:rsidR="2DD9B359" w:rsidRPr="00A627C4">
        <w:rPr>
          <w:rFonts w:eastAsia="Times New Roman"/>
          <w:spacing w:val="-5"/>
        </w:rPr>
        <w:t xml:space="preserve">e l’intention du demandeur de véritablement appartenir à l’organisation en question. </w:t>
      </w:r>
      <w:r w:rsidR="4575C418">
        <w:rPr>
          <w:rFonts w:eastAsia="Times New Roman"/>
          <w:spacing w:val="-5"/>
        </w:rPr>
        <w:t>Cette in</w:t>
      </w:r>
      <w:r w:rsidR="00D8361D">
        <w:rPr>
          <w:rFonts w:eastAsia="Times New Roman"/>
          <w:spacing w:val="-5"/>
        </w:rPr>
        <w:t>t</w:t>
      </w:r>
      <w:r w:rsidR="4575C418">
        <w:rPr>
          <w:rFonts w:eastAsia="Times New Roman"/>
          <w:spacing w:val="-5"/>
        </w:rPr>
        <w:t>erprétation a été confirmé</w:t>
      </w:r>
      <w:r w:rsidR="00E0138D">
        <w:rPr>
          <w:rFonts w:eastAsia="Times New Roman"/>
          <w:spacing w:val="-5"/>
        </w:rPr>
        <w:t>e</w:t>
      </w:r>
      <w:r w:rsidR="4575C418">
        <w:rPr>
          <w:rFonts w:eastAsia="Times New Roman"/>
          <w:spacing w:val="-5"/>
        </w:rPr>
        <w:t xml:space="preserve"> à plusieurs reprises par la CF.</w:t>
      </w:r>
      <w:r w:rsidR="67B81F03" w:rsidRPr="00A627C4">
        <w:rPr>
          <w:rStyle w:val="FootnoteReference"/>
          <w:rFonts w:eastAsia="Times New Roman"/>
          <w:spacing w:val="-5"/>
        </w:rPr>
        <w:t xml:space="preserve"> </w:t>
      </w:r>
      <w:r w:rsidR="00144BC8" w:rsidRPr="00A627C4">
        <w:rPr>
          <w:rStyle w:val="FootnoteReference"/>
          <w:rFonts w:eastAsia="Times New Roman"/>
          <w:spacing w:val="-5"/>
        </w:rPr>
        <w:footnoteReference w:id="73"/>
      </w:r>
    </w:p>
    <w:p w14:paraId="6F893E26" w14:textId="51C928A7" w:rsidR="00FC7D86" w:rsidRPr="00A627C4" w:rsidRDefault="5C557EDA" w:rsidP="0004256F">
      <w:pPr>
        <w:pStyle w:val="ListParagraph"/>
        <w:numPr>
          <w:ilvl w:val="0"/>
          <w:numId w:val="7"/>
        </w:numPr>
        <w:shd w:val="clear" w:color="auto" w:fill="FFFFFF"/>
        <w:spacing w:after="240" w:line="240" w:lineRule="auto"/>
        <w:ind w:left="0" w:right="284" w:firstLine="357"/>
        <w:jc w:val="both"/>
        <w:textAlignment w:val="baseline"/>
        <w:rPr>
          <w:rFonts w:eastAsia="Times New Roman"/>
          <w:color w:val="373739"/>
          <w:spacing w:val="-5"/>
        </w:rPr>
      </w:pPr>
      <w:r w:rsidRPr="00A627C4">
        <w:rPr>
          <w:rFonts w:eastAsia="Times New Roman"/>
          <w:spacing w:val="-5"/>
        </w:rPr>
        <w:t>Dans l’ensemble</w:t>
      </w:r>
      <w:r w:rsidR="0419081E" w:rsidRPr="00A627C4">
        <w:rPr>
          <w:rFonts w:eastAsia="Times New Roman"/>
          <w:spacing w:val="-5"/>
        </w:rPr>
        <w:t xml:space="preserve">, on peut </w:t>
      </w:r>
      <w:r w:rsidRPr="00A627C4">
        <w:rPr>
          <w:rFonts w:eastAsia="Times New Roman"/>
          <w:spacing w:val="-5"/>
        </w:rPr>
        <w:t xml:space="preserve">notamment </w:t>
      </w:r>
      <w:r w:rsidR="0419081E" w:rsidRPr="00A627C4">
        <w:rPr>
          <w:rFonts w:eastAsia="Times New Roman"/>
          <w:spacing w:val="-5"/>
        </w:rPr>
        <w:t xml:space="preserve">compter </w:t>
      </w:r>
      <w:r w:rsidR="7ECE756C" w:rsidRPr="00A627C4">
        <w:rPr>
          <w:rFonts w:eastAsia="Times New Roman"/>
          <w:spacing w:val="-5"/>
        </w:rPr>
        <w:t>les</w:t>
      </w:r>
      <w:r w:rsidR="378B767A">
        <w:rPr>
          <w:rFonts w:eastAsia="Times New Roman"/>
          <w:spacing w:val="-5"/>
        </w:rPr>
        <w:t xml:space="preserve"> critères</w:t>
      </w:r>
      <w:r w:rsidR="7ECE756C" w:rsidRPr="00A627C4">
        <w:rPr>
          <w:rFonts w:eastAsia="Times New Roman"/>
          <w:spacing w:val="-5"/>
        </w:rPr>
        <w:t xml:space="preserve"> suivants :</w:t>
      </w:r>
    </w:p>
    <w:p w14:paraId="14333338" w14:textId="323F0BDB" w:rsidR="00FC7D86" w:rsidRPr="009A048F" w:rsidRDefault="00E0138D" w:rsidP="004E4538">
      <w:pPr>
        <w:shd w:val="clear" w:color="auto" w:fill="FFFFFF"/>
        <w:spacing w:line="240" w:lineRule="auto"/>
        <w:ind w:left="284" w:right="284"/>
        <w:jc w:val="both"/>
        <w:textAlignment w:val="baseline"/>
        <w:rPr>
          <w:rFonts w:eastAsia="Times New Roman"/>
          <w:spacing w:val="-5"/>
        </w:rPr>
      </w:pPr>
      <w:r>
        <w:rPr>
          <w:rFonts w:eastAsia="Times New Roman"/>
          <w:spacing w:val="-5"/>
          <w:bdr w:val="none" w:sz="0" w:space="0" w:color="auto" w:frame="1"/>
        </w:rPr>
        <w:t xml:space="preserve">– </w:t>
      </w:r>
      <w:r w:rsidR="00FC7D86" w:rsidRPr="009A048F">
        <w:rPr>
          <w:rFonts w:eastAsia="Times New Roman"/>
          <w:spacing w:val="-5"/>
          <w:bdr w:val="none" w:sz="0" w:space="0" w:color="auto" w:frame="1"/>
        </w:rPr>
        <w:t>La connaissance que possède le participant des méthodes et des objectifs de l</w:t>
      </w:r>
      <w:r>
        <w:rPr>
          <w:rFonts w:eastAsia="Times New Roman"/>
          <w:spacing w:val="-5"/>
          <w:bdr w:val="none" w:sz="0" w:space="0" w:color="auto" w:frame="1"/>
        </w:rPr>
        <w:t>’</w:t>
      </w:r>
      <w:r w:rsidR="00FC7D86" w:rsidRPr="009A048F">
        <w:rPr>
          <w:rFonts w:eastAsia="Times New Roman"/>
          <w:spacing w:val="-5"/>
          <w:bdr w:val="none" w:sz="0" w:space="0" w:color="auto" w:frame="1"/>
        </w:rPr>
        <w:t>organisation.</w:t>
      </w:r>
    </w:p>
    <w:p w14:paraId="71558357" w14:textId="737216B8" w:rsidR="00FC7D86" w:rsidRPr="009A048F" w:rsidRDefault="00E0138D" w:rsidP="004E4538">
      <w:pPr>
        <w:shd w:val="clear" w:color="auto" w:fill="FFFFFF"/>
        <w:spacing w:line="240" w:lineRule="auto"/>
        <w:ind w:left="284" w:right="284"/>
        <w:jc w:val="both"/>
        <w:textAlignment w:val="baseline"/>
        <w:rPr>
          <w:rFonts w:eastAsia="Times New Roman"/>
          <w:spacing w:val="-5"/>
          <w:bdr w:val="none" w:sz="0" w:space="0" w:color="auto" w:frame="1"/>
        </w:rPr>
      </w:pPr>
      <w:r>
        <w:rPr>
          <w:rFonts w:eastAsia="Times New Roman"/>
          <w:spacing w:val="-5"/>
          <w:bdr w:val="none" w:sz="0" w:space="0" w:color="auto" w:frame="1"/>
        </w:rPr>
        <w:t>– </w:t>
      </w:r>
      <w:r w:rsidR="00FC7D86" w:rsidRPr="009A048F">
        <w:rPr>
          <w:rFonts w:eastAsia="Times New Roman"/>
          <w:spacing w:val="-5"/>
          <w:bdr w:val="none" w:sz="0" w:space="0" w:color="auto" w:frame="1"/>
        </w:rPr>
        <w:t>Le caractère volontaire de la participation.</w:t>
      </w:r>
    </w:p>
    <w:p w14:paraId="4F490DC3" w14:textId="450546D6" w:rsidR="00FC7D86" w:rsidRPr="009A048F" w:rsidRDefault="00E0138D" w:rsidP="004E4538">
      <w:pPr>
        <w:shd w:val="clear" w:color="auto" w:fill="FFFFFF"/>
        <w:spacing w:line="240" w:lineRule="auto"/>
        <w:ind w:left="284" w:right="284"/>
        <w:jc w:val="both"/>
        <w:textAlignment w:val="baseline"/>
        <w:rPr>
          <w:rFonts w:eastAsia="Times New Roman"/>
          <w:spacing w:val="-5"/>
        </w:rPr>
      </w:pPr>
      <w:r>
        <w:rPr>
          <w:rFonts w:eastAsia="Times New Roman"/>
          <w:spacing w:val="-5"/>
          <w:bdr w:val="none" w:sz="0" w:space="0" w:color="auto" w:frame="1"/>
        </w:rPr>
        <w:t>– </w:t>
      </w:r>
      <w:r w:rsidR="00FC7D86" w:rsidRPr="009A048F">
        <w:rPr>
          <w:rFonts w:eastAsia="Times New Roman"/>
          <w:spacing w:val="-5"/>
          <w:bdr w:val="none" w:sz="0" w:space="0" w:color="auto" w:frame="1"/>
        </w:rPr>
        <w:t>La mesure dans laquelle cette participation favorise la réalisation des objectifs de l</w:t>
      </w:r>
      <w:r>
        <w:rPr>
          <w:rFonts w:eastAsia="Times New Roman"/>
          <w:spacing w:val="-5"/>
          <w:bdr w:val="none" w:sz="0" w:space="0" w:color="auto" w:frame="1"/>
        </w:rPr>
        <w:t>’</w:t>
      </w:r>
      <w:r w:rsidR="00FC7D86" w:rsidRPr="009A048F">
        <w:rPr>
          <w:rFonts w:eastAsia="Times New Roman"/>
          <w:spacing w:val="-5"/>
          <w:bdr w:val="none" w:sz="0" w:space="0" w:color="auto" w:frame="1"/>
        </w:rPr>
        <w:t>organisation.</w:t>
      </w:r>
    </w:p>
    <w:p w14:paraId="179DCA5D" w14:textId="75A6F51C" w:rsidR="00FC7D86" w:rsidRPr="009A048F" w:rsidRDefault="00E0138D" w:rsidP="004E4538">
      <w:pPr>
        <w:shd w:val="clear" w:color="auto" w:fill="FFFFFF"/>
        <w:spacing w:line="240" w:lineRule="auto"/>
        <w:ind w:left="284" w:right="284"/>
        <w:jc w:val="both"/>
        <w:textAlignment w:val="baseline"/>
        <w:rPr>
          <w:rFonts w:eastAsia="Times New Roman"/>
          <w:spacing w:val="-5"/>
        </w:rPr>
      </w:pPr>
      <w:r>
        <w:rPr>
          <w:rFonts w:eastAsia="Times New Roman"/>
          <w:spacing w:val="-5"/>
          <w:bdr w:val="none" w:sz="0" w:space="0" w:color="auto" w:frame="1"/>
        </w:rPr>
        <w:t>– </w:t>
      </w:r>
      <w:r w:rsidR="00FC7D86" w:rsidRPr="009A048F">
        <w:rPr>
          <w:rFonts w:eastAsia="Times New Roman"/>
          <w:spacing w:val="-5"/>
          <w:bdr w:val="none" w:sz="0" w:space="0" w:color="auto" w:frame="1"/>
        </w:rPr>
        <w:t>La mesure dans laquelle la participation comprenait des activités combattantes/militaires.</w:t>
      </w:r>
    </w:p>
    <w:p w14:paraId="370C4DC8" w14:textId="6784EC3F" w:rsidR="00FC7D86" w:rsidRPr="009A048F" w:rsidRDefault="00E0138D" w:rsidP="004E4538">
      <w:pPr>
        <w:shd w:val="clear" w:color="auto" w:fill="FFFFFF"/>
        <w:spacing w:line="240" w:lineRule="auto"/>
        <w:ind w:left="284" w:right="284"/>
        <w:jc w:val="both"/>
        <w:textAlignment w:val="baseline"/>
        <w:rPr>
          <w:rFonts w:eastAsia="Times New Roman"/>
          <w:spacing w:val="-5"/>
        </w:rPr>
      </w:pPr>
      <w:r>
        <w:rPr>
          <w:rFonts w:eastAsia="Times New Roman"/>
          <w:spacing w:val="-5"/>
          <w:bdr w:val="none" w:sz="0" w:space="0" w:color="auto" w:frame="1"/>
        </w:rPr>
        <w:t>– </w:t>
      </w:r>
      <w:r w:rsidR="00FC7D86" w:rsidRPr="009A048F">
        <w:rPr>
          <w:rFonts w:eastAsia="Times New Roman"/>
          <w:spacing w:val="-5"/>
          <w:bdr w:val="none" w:sz="0" w:space="0" w:color="auto" w:frame="1"/>
        </w:rPr>
        <w:t>Les intentions du participant - révélées par ses déclarations et ses actions.</w:t>
      </w:r>
    </w:p>
    <w:p w14:paraId="07E961F4" w14:textId="420FDA20" w:rsidR="00FC7D86" w:rsidRPr="009A048F" w:rsidRDefault="00E0138D" w:rsidP="004E4538">
      <w:pPr>
        <w:shd w:val="clear" w:color="auto" w:fill="FFFFFF"/>
        <w:spacing w:line="240" w:lineRule="auto"/>
        <w:ind w:left="284" w:right="284"/>
        <w:jc w:val="both"/>
        <w:textAlignment w:val="baseline"/>
        <w:rPr>
          <w:rFonts w:eastAsia="Times New Roman"/>
          <w:spacing w:val="-5"/>
        </w:rPr>
      </w:pPr>
      <w:r>
        <w:rPr>
          <w:rFonts w:eastAsia="Times New Roman"/>
          <w:spacing w:val="-5"/>
          <w:bdr w:val="none" w:sz="0" w:space="0" w:color="auto" w:frame="1"/>
        </w:rPr>
        <w:t>– </w:t>
      </w:r>
      <w:r w:rsidR="00FC7D86" w:rsidRPr="009A048F">
        <w:rPr>
          <w:rFonts w:eastAsia="Times New Roman"/>
          <w:spacing w:val="-5"/>
          <w:bdr w:val="none" w:sz="0" w:space="0" w:color="auto" w:frame="1"/>
        </w:rPr>
        <w:t>La durée de sa participation.</w:t>
      </w:r>
    </w:p>
    <w:p w14:paraId="556C34BF" w14:textId="4855774C" w:rsidR="00FC7D86" w:rsidRPr="009A048F" w:rsidRDefault="00E0138D" w:rsidP="004E4538">
      <w:pPr>
        <w:shd w:val="clear" w:color="auto" w:fill="FFFFFF"/>
        <w:spacing w:line="240" w:lineRule="auto"/>
        <w:ind w:left="284" w:right="284"/>
        <w:jc w:val="both"/>
        <w:textAlignment w:val="baseline"/>
        <w:rPr>
          <w:rFonts w:eastAsia="Times New Roman"/>
          <w:spacing w:val="-5"/>
        </w:rPr>
      </w:pPr>
      <w:r>
        <w:rPr>
          <w:rFonts w:eastAsia="Times New Roman"/>
          <w:spacing w:val="-5"/>
          <w:bdr w:val="none" w:sz="0" w:space="0" w:color="auto" w:frame="1"/>
        </w:rPr>
        <w:t>– </w:t>
      </w:r>
      <w:r w:rsidR="7ECE756C" w:rsidRPr="009A048F">
        <w:rPr>
          <w:rFonts w:eastAsia="Times New Roman"/>
          <w:spacing w:val="-5"/>
          <w:bdr w:val="none" w:sz="0" w:space="0" w:color="auto" w:frame="1"/>
        </w:rPr>
        <w:t>L</w:t>
      </w:r>
      <w:r>
        <w:rPr>
          <w:rFonts w:eastAsia="Times New Roman"/>
          <w:spacing w:val="-5"/>
          <w:bdr w:val="none" w:sz="0" w:space="0" w:color="auto" w:frame="1"/>
        </w:rPr>
        <w:t>’</w:t>
      </w:r>
      <w:r w:rsidR="7ECE756C" w:rsidRPr="009A048F">
        <w:rPr>
          <w:rFonts w:eastAsia="Times New Roman"/>
          <w:spacing w:val="-5"/>
          <w:bdr w:val="none" w:sz="0" w:space="0" w:color="auto" w:frame="1"/>
        </w:rPr>
        <w:t>appartenance du participant à des groupes de soutien apparentés.</w:t>
      </w:r>
      <w:r w:rsidR="004E4538" w:rsidRPr="009A048F">
        <w:rPr>
          <w:rStyle w:val="FootnoteReference"/>
          <w:rFonts w:eastAsia="Times New Roman"/>
          <w:spacing w:val="-5"/>
          <w:bdr w:val="none" w:sz="0" w:space="0" w:color="auto" w:frame="1"/>
        </w:rPr>
        <w:footnoteReference w:id="74"/>
      </w:r>
    </w:p>
    <w:p w14:paraId="44E1A5D2" w14:textId="77777777" w:rsidR="00FC7D86" w:rsidRPr="00A627C4" w:rsidRDefault="00FC7D86" w:rsidP="00FC7D86">
      <w:pPr>
        <w:shd w:val="clear" w:color="auto" w:fill="FFFFFF"/>
        <w:spacing w:line="240" w:lineRule="auto"/>
        <w:ind w:left="284" w:right="284"/>
        <w:textAlignment w:val="baseline"/>
        <w:rPr>
          <w:rFonts w:eastAsia="Times New Roman"/>
          <w:color w:val="373739"/>
          <w:spacing w:val="-5"/>
        </w:rPr>
      </w:pPr>
    </w:p>
    <w:p w14:paraId="2F14F2A3" w14:textId="64F415AB" w:rsidR="00FC7D86" w:rsidRPr="00A627C4" w:rsidRDefault="515AEBDF" w:rsidP="0004256F">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La distribution de tracts et autres activités mineures ne suffit pas</w:t>
      </w:r>
      <w:r w:rsidR="006730C4" w:rsidRPr="00A627C4">
        <w:rPr>
          <w:rStyle w:val="FootnoteReference"/>
          <w:rFonts w:eastAsia="Times New Roman"/>
          <w:spacing w:val="-5"/>
        </w:rPr>
        <w:footnoteReference w:id="75"/>
      </w:r>
      <w:r w:rsidR="15D99915" w:rsidRPr="00A627C4">
        <w:rPr>
          <w:rFonts w:eastAsia="Times New Roman"/>
          <w:spacing w:val="-5"/>
        </w:rPr>
        <w:t xml:space="preserve">. </w:t>
      </w:r>
      <w:r w:rsidR="62FE5F35" w:rsidRPr="00A627C4">
        <w:rPr>
          <w:rFonts w:eastAsia="Times New Roman"/>
          <w:spacing w:val="-5"/>
        </w:rPr>
        <w:t xml:space="preserve">Comme l’avance la </w:t>
      </w:r>
      <w:r w:rsidR="031D6D85">
        <w:rPr>
          <w:rFonts w:eastAsia="Times New Roman"/>
          <w:spacing w:val="-5"/>
        </w:rPr>
        <w:t>CF</w:t>
      </w:r>
      <w:r w:rsidR="62FE5F35" w:rsidRPr="00A627C4">
        <w:rPr>
          <w:rFonts w:eastAsia="Times New Roman"/>
          <w:spacing w:val="-5"/>
        </w:rPr>
        <w:t xml:space="preserve"> dans l’affaire </w:t>
      </w:r>
      <w:r w:rsidR="62FE5F35" w:rsidRPr="2F76DB4C">
        <w:rPr>
          <w:rFonts w:eastAsia="Times New Roman"/>
          <w:i/>
          <w:iCs/>
          <w:spacing w:val="-5"/>
        </w:rPr>
        <w:t xml:space="preserve">Jalloh, </w:t>
      </w:r>
      <w:r w:rsidR="44F0FDB0" w:rsidRPr="00A627C4">
        <w:rPr>
          <w:rFonts w:eastAsia="Times New Roman"/>
          <w:spacing w:val="-5"/>
        </w:rPr>
        <w:t>un membre «</w:t>
      </w:r>
      <w:r w:rsidR="00E0138D">
        <w:rPr>
          <w:rFonts w:eastAsia="Times New Roman"/>
          <w:spacing w:val="-5"/>
        </w:rPr>
        <w:t> </w:t>
      </w:r>
      <w:r w:rsidR="44F0FDB0" w:rsidRPr="00A627C4">
        <w:rPr>
          <w:rFonts w:eastAsia="Times New Roman"/>
          <w:spacing w:val="-5"/>
        </w:rPr>
        <w:t>se dévoue de façon significative à l’atteinte des buts</w:t>
      </w:r>
      <w:r w:rsidR="00E0138D">
        <w:rPr>
          <w:rFonts w:eastAsia="Times New Roman"/>
          <w:spacing w:val="-5"/>
        </w:rPr>
        <w:t> </w:t>
      </w:r>
      <w:r w:rsidR="44F0FDB0" w:rsidRPr="00A627C4">
        <w:rPr>
          <w:rFonts w:eastAsia="Times New Roman"/>
          <w:spacing w:val="-5"/>
        </w:rPr>
        <w:t>» de l’organisation</w:t>
      </w:r>
      <w:r w:rsidR="00CC348B" w:rsidRPr="00A627C4">
        <w:rPr>
          <w:rStyle w:val="FootnoteReference"/>
          <w:rFonts w:eastAsia="Times New Roman"/>
          <w:spacing w:val="-5"/>
        </w:rPr>
        <w:footnoteReference w:id="76"/>
      </w:r>
      <w:r w:rsidR="24B02690" w:rsidRPr="00A627C4">
        <w:rPr>
          <w:rFonts w:eastAsia="Times New Roman"/>
          <w:spacing w:val="-5"/>
        </w:rPr>
        <w:t>.</w:t>
      </w:r>
    </w:p>
    <w:p w14:paraId="6E37827D" w14:textId="00FCD88D" w:rsidR="00E15E80" w:rsidRPr="00A627C4" w:rsidRDefault="24B02690" w:rsidP="0004256F">
      <w:pPr>
        <w:pStyle w:val="ListParagraph"/>
        <w:numPr>
          <w:ilvl w:val="0"/>
          <w:numId w:val="7"/>
        </w:numPr>
        <w:spacing w:after="240" w:line="480" w:lineRule="auto"/>
        <w:ind w:left="0" w:firstLine="357"/>
        <w:jc w:val="both"/>
        <w:rPr>
          <w:rStyle w:val="FootnoteReference"/>
          <w:rFonts w:eastAsia="Times New Roman"/>
          <w:spacing w:val="-5"/>
          <w:vertAlign w:val="baseline"/>
        </w:rPr>
      </w:pPr>
      <w:r w:rsidRPr="00A627C4">
        <w:rPr>
          <w:rFonts w:eastAsia="Times New Roman"/>
          <w:spacing w:val="-5"/>
        </w:rPr>
        <w:t xml:space="preserve">L’arrêt </w:t>
      </w:r>
      <w:r w:rsidRPr="5A47EA4B">
        <w:rPr>
          <w:rFonts w:eastAsia="Times New Roman"/>
          <w:i/>
          <w:iCs/>
          <w:spacing w:val="-5"/>
        </w:rPr>
        <w:t xml:space="preserve">Ezokola </w:t>
      </w:r>
      <w:r w:rsidRPr="00A627C4">
        <w:rPr>
          <w:rFonts w:eastAsia="Times New Roman"/>
          <w:spacing w:val="-5"/>
        </w:rPr>
        <w:t xml:space="preserve">rendu par la </w:t>
      </w:r>
      <w:r w:rsidR="24ED8F7A">
        <w:rPr>
          <w:rFonts w:eastAsia="Times New Roman"/>
          <w:spacing w:val="-5"/>
        </w:rPr>
        <w:t>CSC</w:t>
      </w:r>
      <w:r w:rsidRPr="00A627C4">
        <w:rPr>
          <w:rFonts w:eastAsia="Times New Roman"/>
          <w:spacing w:val="-5"/>
        </w:rPr>
        <w:t xml:space="preserve"> doit être pris en compte dans l’interprétation des critères d’appartenance l’alinéa 34</w:t>
      </w:r>
      <w:r w:rsidR="00E0138D">
        <w:rPr>
          <w:rFonts w:eastAsia="Times New Roman"/>
          <w:spacing w:val="-5"/>
        </w:rPr>
        <w:t xml:space="preserve"> </w:t>
      </w:r>
      <w:r w:rsidRPr="00A627C4">
        <w:rPr>
          <w:rFonts w:eastAsia="Times New Roman"/>
          <w:spacing w:val="-5"/>
        </w:rPr>
        <w:t>(1) f) de la LIPR. Bien qu’il porte plus particulièrement sur l’interprétation de l’alinéa</w:t>
      </w:r>
      <w:r w:rsidR="00E0138D">
        <w:rPr>
          <w:rFonts w:eastAsia="Times New Roman"/>
          <w:spacing w:val="-5"/>
        </w:rPr>
        <w:t> </w:t>
      </w:r>
      <w:r w:rsidRPr="00A627C4">
        <w:rPr>
          <w:rFonts w:eastAsia="Times New Roman"/>
          <w:spacing w:val="-5"/>
        </w:rPr>
        <w:t>35</w:t>
      </w:r>
      <w:r w:rsidR="00E0138D">
        <w:rPr>
          <w:rFonts w:eastAsia="Times New Roman"/>
          <w:spacing w:val="-5"/>
        </w:rPr>
        <w:t xml:space="preserve"> </w:t>
      </w:r>
      <w:r w:rsidRPr="00A627C4">
        <w:rPr>
          <w:rFonts w:eastAsia="Times New Roman"/>
          <w:spacing w:val="-5"/>
        </w:rPr>
        <w:t>(1) a) de la LIPR et sur la notion de complicité, la Cour se prononce de façon plus large sur la portée du critère d</w:t>
      </w:r>
      <w:r w:rsidR="6C6B2602" w:rsidRPr="00A627C4">
        <w:rPr>
          <w:rFonts w:eastAsia="Times New Roman"/>
          <w:spacing w:val="-5"/>
        </w:rPr>
        <w:t>’</w:t>
      </w:r>
      <w:r w:rsidRPr="00A627C4">
        <w:rPr>
          <w:rFonts w:eastAsia="Times New Roman"/>
          <w:spacing w:val="-5"/>
        </w:rPr>
        <w:t>intention et du caractère volontaire de la participation</w:t>
      </w:r>
      <w:r w:rsidR="55E36515" w:rsidRPr="00A627C4">
        <w:rPr>
          <w:rFonts w:eastAsia="Times New Roman"/>
          <w:spacing w:val="-5"/>
        </w:rPr>
        <w:t xml:space="preserve">, ainsi que de son influence sur les autres critères. </w:t>
      </w:r>
      <w:r w:rsidR="5A1A8517" w:rsidRPr="00A627C4">
        <w:rPr>
          <w:rFonts w:eastAsia="Times New Roman"/>
          <w:spacing w:val="-5"/>
        </w:rPr>
        <w:t>Effectivement, il faut chercher «</w:t>
      </w:r>
      <w:r w:rsidR="00E0138D">
        <w:rPr>
          <w:rFonts w:eastAsia="Times New Roman"/>
          <w:spacing w:val="-5"/>
        </w:rPr>
        <w:t> </w:t>
      </w:r>
      <w:r w:rsidR="5A1A8517" w:rsidRPr="00A627C4">
        <w:rPr>
          <w:rFonts w:eastAsia="Times New Roman"/>
          <w:spacing w:val="-5"/>
        </w:rPr>
        <w:t>une contribution consciente et significative</w:t>
      </w:r>
      <w:r w:rsidR="00E0138D">
        <w:rPr>
          <w:rFonts w:eastAsia="Times New Roman"/>
          <w:spacing w:val="-5"/>
        </w:rPr>
        <w:t> </w:t>
      </w:r>
      <w:r w:rsidR="5A1A8517" w:rsidRPr="00A627C4">
        <w:rPr>
          <w:rFonts w:eastAsia="Times New Roman"/>
          <w:spacing w:val="-5"/>
        </w:rPr>
        <w:t>» du demandeur</w:t>
      </w:r>
      <w:r w:rsidR="07244ADF" w:rsidRPr="00A627C4">
        <w:rPr>
          <w:rFonts w:eastAsia="Times New Roman"/>
          <w:spacing w:val="-5"/>
        </w:rPr>
        <w:t>. Comme</w:t>
      </w:r>
      <w:r w:rsidR="1FFF9D30" w:rsidRPr="00A627C4">
        <w:rPr>
          <w:rFonts w:eastAsia="Times New Roman"/>
          <w:spacing w:val="-5"/>
        </w:rPr>
        <w:t xml:space="preserve"> ce critère est intimement lié à la contrainte, sur laquelle nous reviendrons plus bas, il faut tenir</w:t>
      </w:r>
      <w:r w:rsidR="1EA95212" w:rsidRPr="00A627C4">
        <w:rPr>
          <w:rFonts w:eastAsia="Times New Roman"/>
          <w:spacing w:val="-5"/>
        </w:rPr>
        <w:t xml:space="preserve"> </w:t>
      </w:r>
      <w:r w:rsidR="1B6A5905">
        <w:rPr>
          <w:rFonts w:eastAsia="Times New Roman"/>
          <w:spacing w:val="-5"/>
        </w:rPr>
        <w:t xml:space="preserve">compte </w:t>
      </w:r>
      <w:r w:rsidR="1EA95212" w:rsidRPr="00A627C4">
        <w:rPr>
          <w:rFonts w:eastAsia="Times New Roman"/>
          <w:spacing w:val="-5"/>
        </w:rPr>
        <w:t>«</w:t>
      </w:r>
      <w:r w:rsidR="00E0138D">
        <w:rPr>
          <w:rFonts w:eastAsia="Times New Roman"/>
          <w:spacing w:val="-5"/>
        </w:rPr>
        <w:t> </w:t>
      </w:r>
      <w:r w:rsidR="1EA95212" w:rsidRPr="00A627C4">
        <w:rPr>
          <w:rFonts w:eastAsia="Times New Roman"/>
          <w:spacing w:val="-5"/>
        </w:rPr>
        <w:t>du mode de recrutement de l’organisation et des possibilités de quitter celle-ci</w:t>
      </w:r>
      <w:r w:rsidR="00E0138D">
        <w:rPr>
          <w:rFonts w:eastAsia="Times New Roman"/>
          <w:spacing w:val="-5"/>
        </w:rPr>
        <w:t> </w:t>
      </w:r>
      <w:r w:rsidR="6EFFCCCE" w:rsidRPr="00A627C4">
        <w:rPr>
          <w:rFonts w:eastAsia="Times New Roman"/>
          <w:spacing w:val="-5"/>
        </w:rPr>
        <w:t xml:space="preserve">». </w:t>
      </w:r>
      <w:r w:rsidR="4DD31E71">
        <w:rPr>
          <w:rFonts w:eastAsia="Times New Roman"/>
          <w:spacing w:val="-5"/>
        </w:rPr>
        <w:t>I</w:t>
      </w:r>
      <w:r w:rsidR="340A6F73" w:rsidRPr="00A627C4">
        <w:rPr>
          <w:rFonts w:eastAsia="Times New Roman"/>
          <w:spacing w:val="-5"/>
        </w:rPr>
        <w:t>l est pertinent</w:t>
      </w:r>
      <w:r w:rsidR="7C1FCD98" w:rsidRPr="00A627C4">
        <w:rPr>
          <w:rFonts w:eastAsia="Times New Roman"/>
          <w:spacing w:val="-5"/>
        </w:rPr>
        <w:t xml:space="preserve"> d’examiner si les actes du demandeur vise</w:t>
      </w:r>
      <w:r w:rsidR="6C6B2602" w:rsidRPr="00A627C4">
        <w:rPr>
          <w:rFonts w:eastAsia="Times New Roman"/>
          <w:spacing w:val="-5"/>
        </w:rPr>
        <w:t>nt</w:t>
      </w:r>
      <w:r w:rsidR="7C1FCD98" w:rsidRPr="00A627C4">
        <w:rPr>
          <w:rFonts w:eastAsia="Times New Roman"/>
          <w:spacing w:val="-5"/>
        </w:rPr>
        <w:t xml:space="preserve"> un «</w:t>
      </w:r>
      <w:r w:rsidR="00E0138D">
        <w:rPr>
          <w:rFonts w:eastAsia="Times New Roman"/>
          <w:spacing w:val="-5"/>
        </w:rPr>
        <w:t> </w:t>
      </w:r>
      <w:r w:rsidR="7C1FCD98" w:rsidRPr="00A627C4">
        <w:rPr>
          <w:rFonts w:eastAsia="Times New Roman"/>
          <w:spacing w:val="-5"/>
        </w:rPr>
        <w:t>dessein commun plus large</w:t>
      </w:r>
      <w:r w:rsidR="46FCD29E" w:rsidRPr="00A627C4">
        <w:rPr>
          <w:rFonts w:eastAsia="Times New Roman"/>
          <w:spacing w:val="-5"/>
        </w:rPr>
        <w:t>, comme la réalisation de l’objectif d’une organisation par tous les moyens nécessaires</w:t>
      </w:r>
      <w:r w:rsidR="00E0138D">
        <w:rPr>
          <w:rFonts w:eastAsia="Times New Roman"/>
          <w:spacing w:val="-5"/>
        </w:rPr>
        <w:t> </w:t>
      </w:r>
      <w:r w:rsidR="46FCD29E" w:rsidRPr="00A627C4">
        <w:rPr>
          <w:rFonts w:eastAsia="Times New Roman"/>
          <w:spacing w:val="-5"/>
        </w:rPr>
        <w:t>»</w:t>
      </w:r>
      <w:r w:rsidR="00FF6AFC" w:rsidRPr="00A627C4">
        <w:rPr>
          <w:rStyle w:val="FootnoteReference"/>
          <w:rFonts w:eastAsia="Times New Roman"/>
          <w:spacing w:val="-5"/>
        </w:rPr>
        <w:footnoteReference w:id="77"/>
      </w:r>
      <w:r w:rsidR="1001D638" w:rsidRPr="00A627C4">
        <w:rPr>
          <w:rFonts w:eastAsia="Times New Roman"/>
          <w:spacing w:val="-5"/>
        </w:rPr>
        <w:t>.</w:t>
      </w:r>
    </w:p>
    <w:p w14:paraId="5F0CA491" w14:textId="16927EE7" w:rsidR="00E15E80" w:rsidRPr="00A627C4" w:rsidRDefault="1001D638" w:rsidP="0004256F">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Bien que la CAF ait rejeté le rapprochement entre l’arrêt </w:t>
      </w:r>
      <w:r w:rsidRPr="1017E3F3">
        <w:rPr>
          <w:rFonts w:eastAsia="Times New Roman"/>
          <w:i/>
          <w:iCs/>
          <w:spacing w:val="-5"/>
        </w:rPr>
        <w:t xml:space="preserve">Ezokola </w:t>
      </w:r>
      <w:r w:rsidRPr="00A627C4">
        <w:rPr>
          <w:rFonts w:eastAsia="Times New Roman"/>
          <w:spacing w:val="-5"/>
        </w:rPr>
        <w:t>et l’interprétation de l’alinéa</w:t>
      </w:r>
      <w:r w:rsidR="00E0138D">
        <w:rPr>
          <w:rFonts w:eastAsia="Times New Roman"/>
          <w:spacing w:val="-5"/>
        </w:rPr>
        <w:t> </w:t>
      </w:r>
      <w:r w:rsidRPr="00A627C4">
        <w:rPr>
          <w:rFonts w:eastAsia="Times New Roman"/>
          <w:spacing w:val="-5"/>
        </w:rPr>
        <w:t>34</w:t>
      </w:r>
      <w:r w:rsidR="00E0138D">
        <w:rPr>
          <w:rFonts w:eastAsia="Times New Roman"/>
          <w:spacing w:val="-5"/>
        </w:rPr>
        <w:t xml:space="preserve"> </w:t>
      </w:r>
      <w:r w:rsidRPr="00A627C4">
        <w:rPr>
          <w:rFonts w:eastAsia="Times New Roman"/>
          <w:spacing w:val="-5"/>
        </w:rPr>
        <w:t xml:space="preserve">(1) f) dans l’affaire </w:t>
      </w:r>
      <w:r w:rsidRPr="1017E3F3">
        <w:rPr>
          <w:rFonts w:eastAsia="Times New Roman"/>
          <w:i/>
          <w:iCs/>
          <w:spacing w:val="-5"/>
        </w:rPr>
        <w:t>Kanagendren</w:t>
      </w:r>
      <w:r w:rsidR="00B92841" w:rsidRPr="1017E3F3">
        <w:rPr>
          <w:rStyle w:val="FootnoteReference"/>
          <w:rFonts w:eastAsia="Times New Roman"/>
          <w:i/>
          <w:iCs/>
          <w:spacing w:val="-5"/>
        </w:rPr>
        <w:footnoteReference w:id="78"/>
      </w:r>
      <w:r w:rsidRPr="1017E3F3">
        <w:rPr>
          <w:rFonts w:eastAsia="Times New Roman"/>
          <w:i/>
          <w:iCs/>
          <w:spacing w:val="-5"/>
        </w:rPr>
        <w:t xml:space="preserve">, </w:t>
      </w:r>
      <w:r w:rsidR="669B5C7A" w:rsidRPr="00A627C4">
        <w:rPr>
          <w:rFonts w:eastAsia="Times New Roman"/>
          <w:spacing w:val="-5"/>
        </w:rPr>
        <w:t>elle ne tient pas compte</w:t>
      </w:r>
      <w:r w:rsidR="5EFE758A" w:rsidRPr="00A627C4">
        <w:rPr>
          <w:rFonts w:eastAsia="Times New Roman"/>
          <w:spacing w:val="-5"/>
        </w:rPr>
        <w:t xml:space="preserve"> de la similarité du critère d’intention exigée à la fois aux dispositions</w:t>
      </w:r>
      <w:r w:rsidR="00E0138D">
        <w:rPr>
          <w:rFonts w:eastAsia="Times New Roman"/>
          <w:spacing w:val="-5"/>
        </w:rPr>
        <w:t> </w:t>
      </w:r>
      <w:r w:rsidR="5EFE758A" w:rsidRPr="00A627C4">
        <w:rPr>
          <w:rFonts w:eastAsia="Times New Roman"/>
          <w:spacing w:val="-5"/>
        </w:rPr>
        <w:t>34</w:t>
      </w:r>
      <w:r w:rsidR="00E0138D">
        <w:rPr>
          <w:rFonts w:eastAsia="Times New Roman"/>
          <w:spacing w:val="-5"/>
        </w:rPr>
        <w:t xml:space="preserve"> </w:t>
      </w:r>
      <w:r w:rsidR="5EFE758A" w:rsidRPr="00A627C4">
        <w:rPr>
          <w:rFonts w:eastAsia="Times New Roman"/>
          <w:spacing w:val="-5"/>
        </w:rPr>
        <w:t>(1) f) et 35</w:t>
      </w:r>
      <w:r w:rsidR="00E0138D">
        <w:rPr>
          <w:rFonts w:eastAsia="Times New Roman"/>
          <w:spacing w:val="-5"/>
        </w:rPr>
        <w:t xml:space="preserve"> </w:t>
      </w:r>
      <w:r w:rsidR="5EFE758A" w:rsidRPr="00A627C4">
        <w:rPr>
          <w:rFonts w:eastAsia="Times New Roman"/>
          <w:spacing w:val="-5"/>
        </w:rPr>
        <w:t>(1) a) de la LIPR</w:t>
      </w:r>
      <w:r w:rsidR="6A085F47" w:rsidRPr="00A627C4">
        <w:rPr>
          <w:rFonts w:eastAsia="Times New Roman"/>
          <w:spacing w:val="-5"/>
        </w:rPr>
        <w:t xml:space="preserve">. Comme la cour de la couronne n’est pas liée par la décision </w:t>
      </w:r>
      <w:r w:rsidR="6A085F47" w:rsidRPr="1017E3F3">
        <w:rPr>
          <w:rFonts w:eastAsia="Times New Roman"/>
          <w:i/>
          <w:iCs/>
          <w:spacing w:val="-5"/>
        </w:rPr>
        <w:t xml:space="preserve">Kanagendren, </w:t>
      </w:r>
      <w:r w:rsidR="6A085F47" w:rsidRPr="00A627C4">
        <w:rPr>
          <w:rFonts w:eastAsia="Times New Roman"/>
          <w:spacing w:val="-5"/>
        </w:rPr>
        <w:t xml:space="preserve">elle devrait en faire fi. </w:t>
      </w:r>
    </w:p>
    <w:p w14:paraId="7B47C2F6" w14:textId="297711DF" w:rsidR="00E15E80" w:rsidRPr="00896D8F" w:rsidRDefault="5618B2E0" w:rsidP="00896D8F">
      <w:pPr>
        <w:pStyle w:val="ListParagraph"/>
        <w:numPr>
          <w:ilvl w:val="1"/>
          <w:numId w:val="8"/>
        </w:numPr>
        <w:spacing w:after="240" w:line="240" w:lineRule="auto"/>
        <w:jc w:val="both"/>
        <w:rPr>
          <w:rFonts w:eastAsia="Times New Roman"/>
          <w:b/>
          <w:bCs/>
          <w:color w:val="000000" w:themeColor="text1"/>
          <w:spacing w:val="-5"/>
        </w:rPr>
      </w:pPr>
      <w:r w:rsidRPr="00896D8F">
        <w:rPr>
          <w:rFonts w:eastAsia="Times New Roman"/>
          <w:b/>
          <w:bCs/>
          <w:color w:val="000000" w:themeColor="text1"/>
        </w:rPr>
        <w:t>La juge Jagger a conclu à bon droit que la contrainte en droit criminel peut être soulevée à l’application de l’alinéa</w:t>
      </w:r>
      <w:r w:rsidR="00B71523">
        <w:rPr>
          <w:rFonts w:eastAsia="Times New Roman"/>
          <w:b/>
          <w:bCs/>
          <w:color w:val="000000" w:themeColor="text1"/>
        </w:rPr>
        <w:t> </w:t>
      </w:r>
      <w:r w:rsidRPr="00896D8F">
        <w:rPr>
          <w:rFonts w:eastAsia="Times New Roman"/>
          <w:b/>
          <w:bCs/>
          <w:color w:val="000000" w:themeColor="text1"/>
        </w:rPr>
        <w:t>34</w:t>
      </w:r>
      <w:r w:rsidR="00B71523">
        <w:rPr>
          <w:rFonts w:eastAsia="Times New Roman"/>
          <w:b/>
          <w:bCs/>
          <w:color w:val="000000" w:themeColor="text1"/>
        </w:rPr>
        <w:t xml:space="preserve"> </w:t>
      </w:r>
      <w:r w:rsidRPr="00896D8F">
        <w:rPr>
          <w:rFonts w:eastAsia="Times New Roman"/>
          <w:b/>
          <w:bCs/>
          <w:color w:val="000000" w:themeColor="text1"/>
        </w:rPr>
        <w:t>(1) f) de la LIPR</w:t>
      </w:r>
    </w:p>
    <w:p w14:paraId="75D14C7D" w14:textId="7DC1D6CC" w:rsidR="00E15E80" w:rsidRPr="00A627C4" w:rsidRDefault="4417C3A9" w:rsidP="07ABB96B">
      <w:pPr>
        <w:pStyle w:val="ListParagraph"/>
        <w:numPr>
          <w:ilvl w:val="0"/>
          <w:numId w:val="7"/>
        </w:numPr>
        <w:spacing w:after="240" w:line="480" w:lineRule="auto"/>
        <w:ind w:left="0" w:firstLine="357"/>
        <w:jc w:val="both"/>
        <w:rPr>
          <w:rFonts w:eastAsia="Times New Roman"/>
        </w:rPr>
      </w:pPr>
      <w:r w:rsidRPr="07ABB96B">
        <w:rPr>
          <w:rFonts w:eastAsia="Times New Roman"/>
          <w:color w:val="000000" w:themeColor="text1"/>
        </w:rPr>
        <w:t>Respectueusement, l’agent A. Ali a erré dans son analyse en oubliant l’importance d’un principe de base en droit criminel</w:t>
      </w:r>
      <w:r w:rsidR="00255366">
        <w:rPr>
          <w:rFonts w:eastAsia="Times New Roman"/>
          <w:color w:val="000000" w:themeColor="text1"/>
        </w:rPr>
        <w:t xml:space="preserve"> : </w:t>
      </w:r>
      <w:r w:rsidR="00896D8F">
        <w:rPr>
          <w:rFonts w:eastAsia="Times New Roman"/>
          <w:color w:val="000000" w:themeColor="text1"/>
        </w:rPr>
        <w:t>«</w:t>
      </w:r>
      <w:r w:rsidR="00B71523">
        <w:rPr>
          <w:rFonts w:eastAsia="Times New Roman"/>
          <w:color w:val="000000" w:themeColor="text1"/>
        </w:rPr>
        <w:t> </w:t>
      </w:r>
      <w:r w:rsidRPr="07ABB96B">
        <w:rPr>
          <w:rFonts w:eastAsia="Times New Roman"/>
          <w:color w:val="000000" w:themeColor="text1"/>
        </w:rPr>
        <w:t>une personne ne peut être tenue responsable d’actes qu’elle n’a pas commis de son plein gré</w:t>
      </w:r>
      <w:r w:rsidR="00102491" w:rsidRPr="07ABB96B">
        <w:rPr>
          <w:rStyle w:val="FootnoteReference"/>
          <w:rFonts w:eastAsia="Times New Roman"/>
          <w:color w:val="000000" w:themeColor="text1"/>
        </w:rPr>
        <w:footnoteReference w:id="79"/>
      </w:r>
      <w:r w:rsidR="00B71523">
        <w:rPr>
          <w:rFonts w:eastAsia="Times New Roman"/>
          <w:color w:val="000000" w:themeColor="text1"/>
        </w:rPr>
        <w:t> </w:t>
      </w:r>
      <w:r w:rsidR="00896D8F">
        <w:rPr>
          <w:rFonts w:eastAsia="Times New Roman"/>
          <w:color w:val="000000" w:themeColor="text1"/>
        </w:rPr>
        <w:t>»</w:t>
      </w:r>
      <w:r w:rsidRPr="07ABB96B">
        <w:rPr>
          <w:rFonts w:eastAsia="Times New Roman"/>
          <w:color w:val="000000" w:themeColor="text1"/>
        </w:rPr>
        <w:t xml:space="preserve">. </w:t>
      </w:r>
    </w:p>
    <w:p w14:paraId="3A3DBB60" w14:textId="69613431" w:rsidR="00661FFE" w:rsidRPr="00661FFE" w:rsidRDefault="4417C3A9" w:rsidP="00661FFE">
      <w:pPr>
        <w:pStyle w:val="ListParagraph"/>
        <w:numPr>
          <w:ilvl w:val="0"/>
          <w:numId w:val="7"/>
        </w:numPr>
        <w:spacing w:after="240" w:line="480" w:lineRule="auto"/>
        <w:ind w:left="0" w:firstLine="357"/>
        <w:jc w:val="both"/>
        <w:rPr>
          <w:rFonts w:eastAsia="Times New Roman"/>
          <w:color w:val="000000" w:themeColor="text1"/>
        </w:rPr>
      </w:pPr>
      <w:r w:rsidRPr="07ABB96B">
        <w:rPr>
          <w:rFonts w:eastAsia="Times New Roman"/>
          <w:color w:val="000000" w:themeColor="text1"/>
        </w:rPr>
        <w:t xml:space="preserve">De ce principe de base découle un principe de common law, soit la défense de contrainte. La défense de contrainte est une </w:t>
      </w:r>
      <w:r w:rsidR="0077379A">
        <w:rPr>
          <w:rFonts w:eastAsia="Times New Roman"/>
          <w:color w:val="000000" w:themeColor="text1"/>
        </w:rPr>
        <w:t>«</w:t>
      </w:r>
      <w:r w:rsidR="00B71523">
        <w:rPr>
          <w:rFonts w:eastAsia="Times New Roman"/>
          <w:color w:val="000000" w:themeColor="text1"/>
        </w:rPr>
        <w:t> </w:t>
      </w:r>
      <w:r w:rsidRPr="07ABB96B">
        <w:rPr>
          <w:rFonts w:eastAsia="Times New Roman"/>
          <w:color w:val="000000" w:themeColor="text1"/>
        </w:rPr>
        <w:t>excuse pour justifier la perpétration d’un acte préjudiciable dans des circonstances où l’acte était moralement involontaire</w:t>
      </w:r>
      <w:r w:rsidR="00102491" w:rsidRPr="07ABB96B">
        <w:rPr>
          <w:rStyle w:val="FootnoteReference"/>
          <w:rFonts w:eastAsia="Times New Roman"/>
          <w:color w:val="000000" w:themeColor="text1"/>
        </w:rPr>
        <w:footnoteReference w:id="80"/>
      </w:r>
      <w:r w:rsidR="00B71523">
        <w:rPr>
          <w:rFonts w:eastAsia="Times New Roman"/>
          <w:color w:val="000000" w:themeColor="text1"/>
        </w:rPr>
        <w:t> </w:t>
      </w:r>
      <w:r w:rsidR="0077379A">
        <w:rPr>
          <w:rFonts w:eastAsia="Times New Roman"/>
          <w:color w:val="000000" w:themeColor="text1"/>
        </w:rPr>
        <w:t>»</w:t>
      </w:r>
      <w:r w:rsidRPr="07ABB96B">
        <w:rPr>
          <w:rFonts w:eastAsia="Times New Roman"/>
          <w:color w:val="000000" w:themeColor="text1"/>
        </w:rPr>
        <w:t>. Ce moyen de défense découle de l</w:t>
      </w:r>
      <w:r w:rsidR="00B71523">
        <w:rPr>
          <w:rFonts w:eastAsia="Times New Roman"/>
          <w:color w:val="000000" w:themeColor="text1"/>
        </w:rPr>
        <w:t>’</w:t>
      </w:r>
      <w:r w:rsidRPr="07ABB96B">
        <w:rPr>
          <w:rFonts w:eastAsia="Times New Roman"/>
          <w:color w:val="000000" w:themeColor="text1"/>
        </w:rPr>
        <w:t xml:space="preserve">arrêt </w:t>
      </w:r>
      <w:r w:rsidRPr="1017E3F3">
        <w:rPr>
          <w:rFonts w:eastAsia="Times New Roman"/>
          <w:i/>
          <w:iCs/>
          <w:color w:val="000000" w:themeColor="text1"/>
        </w:rPr>
        <w:t>Perka</w:t>
      </w:r>
      <w:r w:rsidRPr="07ABB96B">
        <w:rPr>
          <w:rFonts w:eastAsia="Times New Roman"/>
          <w:color w:val="000000" w:themeColor="text1"/>
        </w:rPr>
        <w:t xml:space="preserve"> et de l’arrêt </w:t>
      </w:r>
      <w:r w:rsidRPr="1017E3F3">
        <w:rPr>
          <w:rFonts w:eastAsia="Times New Roman"/>
          <w:i/>
          <w:iCs/>
          <w:color w:val="000000" w:themeColor="text1"/>
        </w:rPr>
        <w:t>Hibbert</w:t>
      </w:r>
      <w:r w:rsidRPr="07ABB96B">
        <w:rPr>
          <w:rFonts w:eastAsia="Times New Roman"/>
          <w:color w:val="000000" w:themeColor="text1"/>
        </w:rPr>
        <w:t xml:space="preserve"> et est maintenant codifié aux articles</w:t>
      </w:r>
      <w:r w:rsidR="00B71523">
        <w:rPr>
          <w:rFonts w:eastAsia="Times New Roman"/>
          <w:color w:val="000000" w:themeColor="text1"/>
        </w:rPr>
        <w:t> </w:t>
      </w:r>
      <w:r w:rsidRPr="07ABB96B">
        <w:rPr>
          <w:rFonts w:eastAsia="Times New Roman"/>
          <w:color w:val="000000" w:themeColor="text1"/>
        </w:rPr>
        <w:t xml:space="preserve">17 et 34 du </w:t>
      </w:r>
      <w:r w:rsidRPr="1017E3F3">
        <w:rPr>
          <w:rFonts w:eastAsia="Times New Roman"/>
          <w:i/>
          <w:iCs/>
          <w:color w:val="000000" w:themeColor="text1"/>
        </w:rPr>
        <w:t>Code criminel</w:t>
      </w:r>
      <w:r w:rsidRPr="07ABB96B">
        <w:rPr>
          <w:rFonts w:eastAsia="Times New Roman"/>
          <w:color w:val="000000" w:themeColor="text1"/>
        </w:rPr>
        <w:t xml:space="preserve">. L’arrêt </w:t>
      </w:r>
      <w:r w:rsidRPr="1017E3F3">
        <w:rPr>
          <w:rFonts w:eastAsia="Times New Roman"/>
          <w:i/>
          <w:iCs/>
          <w:color w:val="000000" w:themeColor="text1"/>
        </w:rPr>
        <w:t>Hibbert</w:t>
      </w:r>
      <w:r w:rsidRPr="07ABB96B">
        <w:rPr>
          <w:rFonts w:eastAsia="Times New Roman"/>
          <w:color w:val="000000" w:themeColor="text1"/>
        </w:rPr>
        <w:t xml:space="preserve"> précise aussi que la défense de contrainte «</w:t>
      </w:r>
      <w:r w:rsidR="00B71523">
        <w:rPr>
          <w:rFonts w:eastAsia="Times New Roman"/>
          <w:color w:val="000000" w:themeColor="text1"/>
        </w:rPr>
        <w:t> </w:t>
      </w:r>
      <w:r w:rsidRPr="07ABB96B">
        <w:rPr>
          <w:rFonts w:eastAsia="Times New Roman"/>
          <w:color w:val="000000" w:themeColor="text1"/>
        </w:rPr>
        <w:t>s</w:t>
      </w:r>
      <w:r w:rsidR="00B71523">
        <w:rPr>
          <w:rFonts w:eastAsia="Times New Roman"/>
          <w:color w:val="000000" w:themeColor="text1"/>
        </w:rPr>
        <w:t>’</w:t>
      </w:r>
      <w:r w:rsidRPr="07ABB96B">
        <w:rPr>
          <w:rFonts w:eastAsia="Times New Roman"/>
          <w:color w:val="000000" w:themeColor="text1"/>
        </w:rPr>
        <w:t>applique à toute une gamme d’infractions et protège complètement contre une déclaration de culpabilité</w:t>
      </w:r>
      <w:r w:rsidR="00102491" w:rsidRPr="07ABB96B">
        <w:rPr>
          <w:rStyle w:val="FootnoteReference"/>
          <w:rFonts w:eastAsia="Times New Roman"/>
          <w:color w:val="000000" w:themeColor="text1"/>
        </w:rPr>
        <w:footnoteReference w:id="81"/>
      </w:r>
      <w:r w:rsidR="00B71523">
        <w:rPr>
          <w:rFonts w:eastAsia="Times New Roman"/>
          <w:color w:val="000000" w:themeColor="text1"/>
        </w:rPr>
        <w:t> </w:t>
      </w:r>
      <w:r w:rsidRPr="07ABB96B">
        <w:rPr>
          <w:rFonts w:eastAsia="Times New Roman"/>
          <w:color w:val="000000" w:themeColor="text1"/>
        </w:rPr>
        <w:t xml:space="preserve">». De plus, l’arrêt </w:t>
      </w:r>
      <w:r w:rsidRPr="1017E3F3">
        <w:rPr>
          <w:rFonts w:eastAsia="Times New Roman"/>
          <w:i/>
          <w:iCs/>
          <w:color w:val="000000" w:themeColor="text1"/>
        </w:rPr>
        <w:t xml:space="preserve">Ruzic </w:t>
      </w:r>
      <w:r w:rsidRPr="07ABB96B">
        <w:rPr>
          <w:rFonts w:eastAsia="Times New Roman"/>
          <w:color w:val="000000" w:themeColor="text1"/>
        </w:rPr>
        <w:t xml:space="preserve">précise que l’imputation de la responsabilité criminelle est le résultat d’une conduite volontaire en </w:t>
      </w:r>
      <w:r w:rsidR="004B47AF">
        <w:rPr>
          <w:rFonts w:eastAsia="Times New Roman"/>
          <w:color w:val="000000" w:themeColor="text1"/>
        </w:rPr>
        <w:t>«</w:t>
      </w:r>
      <w:r w:rsidR="00B71523">
        <w:rPr>
          <w:rFonts w:eastAsia="Times New Roman"/>
          <w:color w:val="000000" w:themeColor="text1"/>
        </w:rPr>
        <w:t> </w:t>
      </w:r>
      <w:r w:rsidRPr="07ABB96B">
        <w:rPr>
          <w:rFonts w:eastAsia="Times New Roman"/>
          <w:color w:val="000000" w:themeColor="text1"/>
        </w:rPr>
        <w:t>l’absence de toute contrainte extérieure</w:t>
      </w:r>
      <w:r w:rsidR="00102491" w:rsidRPr="07ABB96B">
        <w:rPr>
          <w:rStyle w:val="FootnoteReference"/>
          <w:rFonts w:eastAsia="Times New Roman"/>
          <w:color w:val="000000" w:themeColor="text1"/>
        </w:rPr>
        <w:footnoteReference w:id="82"/>
      </w:r>
      <w:r w:rsidR="00B71523">
        <w:rPr>
          <w:rFonts w:eastAsia="Times New Roman"/>
          <w:color w:val="000000" w:themeColor="text1"/>
        </w:rPr>
        <w:t> </w:t>
      </w:r>
      <w:r w:rsidR="00D02AC7">
        <w:rPr>
          <w:rFonts w:eastAsia="Times New Roman"/>
          <w:color w:val="000000" w:themeColor="text1"/>
        </w:rPr>
        <w:t>»</w:t>
      </w:r>
      <w:r w:rsidRPr="07ABB96B">
        <w:rPr>
          <w:rFonts w:eastAsia="Times New Roman"/>
          <w:color w:val="000000" w:themeColor="text1"/>
        </w:rPr>
        <w:t>. Bref, en droit criminel, l’intention de commettre une infraction est nécessaire pour qu’il y ait une déclaration de culpabilité. Une personne qui commet une infraction sous contrainte peut utiliser le moyen de défense de la contrainte pour justifier ses actions.</w:t>
      </w:r>
    </w:p>
    <w:p w14:paraId="38CB6CC8" w14:textId="7BE74357" w:rsidR="33DF120C" w:rsidRDefault="33DF120C" w:rsidP="43B0815B">
      <w:pPr>
        <w:pStyle w:val="ListParagraph"/>
        <w:numPr>
          <w:ilvl w:val="0"/>
          <w:numId w:val="7"/>
        </w:numPr>
        <w:spacing w:after="240" w:line="480" w:lineRule="auto"/>
        <w:ind w:left="0" w:firstLine="357"/>
        <w:jc w:val="both"/>
        <w:rPr>
          <w:rFonts w:eastAsia="Times New Roman"/>
          <w:color w:val="000000" w:themeColor="text1"/>
        </w:rPr>
      </w:pPr>
      <w:r w:rsidRPr="43B0815B">
        <w:rPr>
          <w:rFonts w:eastAsia="Times New Roman"/>
          <w:color w:val="000000" w:themeColor="text1"/>
        </w:rPr>
        <w:t>De plus, la «</w:t>
      </w:r>
      <w:r w:rsidR="00B71523">
        <w:rPr>
          <w:rFonts w:eastAsia="Times New Roman"/>
          <w:color w:val="000000" w:themeColor="text1"/>
        </w:rPr>
        <w:t> </w:t>
      </w:r>
      <w:r w:rsidRPr="43B0815B">
        <w:rPr>
          <w:rFonts w:eastAsia="Times New Roman"/>
          <w:color w:val="000000" w:themeColor="text1"/>
        </w:rPr>
        <w:t>Cour a déjà examiné la défense fondée sur la contrainte dans le contexte des alinéas 34</w:t>
      </w:r>
      <w:r w:rsidR="00B71523">
        <w:rPr>
          <w:rFonts w:eastAsia="Times New Roman"/>
          <w:color w:val="000000" w:themeColor="text1"/>
        </w:rPr>
        <w:t xml:space="preserve"> </w:t>
      </w:r>
      <w:r w:rsidRPr="43B0815B">
        <w:rPr>
          <w:rFonts w:eastAsia="Times New Roman"/>
          <w:color w:val="000000" w:themeColor="text1"/>
        </w:rPr>
        <w:t>(1)</w:t>
      </w:r>
      <w:r w:rsidR="00B71523">
        <w:rPr>
          <w:rFonts w:eastAsia="Times New Roman"/>
          <w:color w:val="000000" w:themeColor="text1"/>
        </w:rPr>
        <w:t xml:space="preserve"> </w:t>
      </w:r>
      <w:r w:rsidRPr="43B0815B">
        <w:rPr>
          <w:rFonts w:eastAsia="Times New Roman"/>
          <w:color w:val="000000" w:themeColor="text1"/>
        </w:rPr>
        <w:t>b) et f) de la LIPR</w:t>
      </w:r>
      <w:r w:rsidR="00B71523">
        <w:rPr>
          <w:rFonts w:eastAsia="Times New Roman"/>
          <w:color w:val="000000" w:themeColor="text1"/>
        </w:rPr>
        <w:t> </w:t>
      </w:r>
      <w:r w:rsidRPr="43B0815B">
        <w:rPr>
          <w:rFonts w:eastAsia="Times New Roman"/>
          <w:color w:val="000000" w:themeColor="text1"/>
        </w:rPr>
        <w:t>» et la cour a affirmé que «</w:t>
      </w:r>
      <w:r w:rsidR="00B71523">
        <w:rPr>
          <w:rFonts w:eastAsia="Times New Roman"/>
          <w:color w:val="000000" w:themeColor="text1"/>
        </w:rPr>
        <w:t> </w:t>
      </w:r>
      <w:r>
        <w:t>les questions concernant la contrainte et l’appartenance à une organisation sont interreliées et devraient être examinées ensemble</w:t>
      </w:r>
      <w:r w:rsidRPr="43B0815B">
        <w:rPr>
          <w:rStyle w:val="FootnoteReference"/>
          <w:rFonts w:eastAsia="Times New Roman"/>
          <w:color w:val="000000" w:themeColor="text1"/>
        </w:rPr>
        <w:footnoteReference w:id="83"/>
      </w:r>
      <w:r w:rsidR="00B71523">
        <w:t> </w:t>
      </w:r>
      <w:r>
        <w:t>».</w:t>
      </w:r>
    </w:p>
    <w:p w14:paraId="0B3CBF84" w14:textId="4197C428" w:rsidR="00E15E80" w:rsidRPr="00F51B60" w:rsidRDefault="7E2D4395" w:rsidP="00F51B60">
      <w:pPr>
        <w:pStyle w:val="ListParagraph"/>
        <w:numPr>
          <w:ilvl w:val="1"/>
          <w:numId w:val="8"/>
        </w:numPr>
        <w:spacing w:after="240" w:line="240" w:lineRule="auto"/>
        <w:jc w:val="both"/>
        <w:rPr>
          <w:b/>
          <w:bCs/>
          <w:spacing w:val="-5"/>
        </w:rPr>
      </w:pPr>
      <w:r w:rsidRPr="00F51B60">
        <w:rPr>
          <w:rFonts w:eastAsia="Times New Roman"/>
          <w:b/>
          <w:bCs/>
          <w:color w:val="000000" w:themeColor="text1"/>
        </w:rPr>
        <w:t>La juge Jagger a conclu à bon droit que le demandeur a soulevé la défense de contrainte avec succès</w:t>
      </w:r>
    </w:p>
    <w:p w14:paraId="0C52E8D6" w14:textId="6C4C43FD" w:rsidR="00E15E80" w:rsidRPr="00AD69D7" w:rsidRDefault="5CA3F320" w:rsidP="6B4484AB">
      <w:pPr>
        <w:pStyle w:val="ListParagraph"/>
        <w:numPr>
          <w:ilvl w:val="0"/>
          <w:numId w:val="7"/>
        </w:numPr>
        <w:spacing w:after="240" w:line="480" w:lineRule="auto"/>
        <w:ind w:left="0" w:firstLine="357"/>
        <w:jc w:val="both"/>
        <w:rPr>
          <w:color w:val="000000" w:themeColor="text1"/>
        </w:rPr>
      </w:pPr>
      <w:r w:rsidRPr="6B4484AB">
        <w:rPr>
          <w:rFonts w:eastAsia="Times New Roman"/>
          <w:color w:val="000000" w:themeColor="text1"/>
        </w:rPr>
        <w:t xml:space="preserve"> </w:t>
      </w:r>
      <w:r w:rsidR="1A5ECFD4" w:rsidRPr="6B4484AB">
        <w:rPr>
          <w:rFonts w:eastAsia="Times New Roman"/>
          <w:color w:val="000000" w:themeColor="text1"/>
        </w:rPr>
        <w:t>La juge Jagger a raison de conclure que M.</w:t>
      </w:r>
      <w:r w:rsidR="00E810F0">
        <w:rPr>
          <w:rFonts w:eastAsia="Times New Roman"/>
          <w:color w:val="000000" w:themeColor="text1"/>
        </w:rPr>
        <w:t> </w:t>
      </w:r>
      <w:r w:rsidR="1A5ECFD4" w:rsidRPr="6B4484AB">
        <w:rPr>
          <w:rFonts w:eastAsia="Times New Roman"/>
          <w:color w:val="000000" w:themeColor="text1"/>
        </w:rPr>
        <w:t>Chowdhury</w:t>
      </w:r>
      <w:r w:rsidR="002271BD">
        <w:rPr>
          <w:rFonts w:eastAsia="Times New Roman"/>
          <w:color w:val="000000" w:themeColor="text1"/>
        </w:rPr>
        <w:t xml:space="preserve"> n’était pas membre </w:t>
      </w:r>
      <w:r w:rsidR="0094458B">
        <w:rPr>
          <w:rFonts w:eastAsia="Times New Roman"/>
          <w:color w:val="000000" w:themeColor="text1"/>
        </w:rPr>
        <w:t xml:space="preserve">avant février 2014, et qu’après février </w:t>
      </w:r>
      <w:r w:rsidR="00200A6C">
        <w:rPr>
          <w:rFonts w:eastAsia="Times New Roman"/>
          <w:color w:val="000000" w:themeColor="text1"/>
        </w:rPr>
        <w:t>2014, il</w:t>
      </w:r>
      <w:r w:rsidR="1A5ECFD4" w:rsidRPr="6B4484AB">
        <w:rPr>
          <w:rFonts w:eastAsia="Times New Roman"/>
          <w:color w:val="000000" w:themeColor="text1"/>
        </w:rPr>
        <w:t xml:space="preserve"> a adhéré au PNB sous contrainte de dévoiler son orientation sexuelle</w:t>
      </w:r>
      <w:r w:rsidR="00C56138">
        <w:rPr>
          <w:rFonts w:eastAsia="Times New Roman"/>
          <w:color w:val="000000" w:themeColor="text1"/>
        </w:rPr>
        <w:t xml:space="preserve">. </w:t>
      </w:r>
      <w:r w:rsidRPr="6B4484AB">
        <w:rPr>
          <w:rFonts w:eastAsia="Times New Roman"/>
          <w:color w:val="000000" w:themeColor="text1"/>
        </w:rPr>
        <w:t>De ce fait, la défense de contrainte p</w:t>
      </w:r>
      <w:r w:rsidR="007A016A">
        <w:rPr>
          <w:rFonts w:eastAsia="Times New Roman"/>
          <w:color w:val="000000" w:themeColor="text1"/>
        </w:rPr>
        <w:t>ouvait</w:t>
      </w:r>
      <w:r w:rsidRPr="6B4484AB">
        <w:rPr>
          <w:rFonts w:eastAsia="Times New Roman"/>
          <w:color w:val="000000" w:themeColor="text1"/>
        </w:rPr>
        <w:t xml:space="preserve"> être soulevée par M.</w:t>
      </w:r>
      <w:r w:rsidR="00E810F0">
        <w:rPr>
          <w:rFonts w:eastAsia="Times New Roman"/>
          <w:color w:val="000000" w:themeColor="text1"/>
        </w:rPr>
        <w:t> </w:t>
      </w:r>
      <w:r w:rsidRPr="6B4484AB">
        <w:rPr>
          <w:rFonts w:eastAsia="Times New Roman"/>
          <w:color w:val="000000" w:themeColor="text1"/>
        </w:rPr>
        <w:t>Chowdhury</w:t>
      </w:r>
      <w:r w:rsidR="00C56138">
        <w:rPr>
          <w:rFonts w:eastAsia="Times New Roman"/>
          <w:color w:val="000000" w:themeColor="text1"/>
        </w:rPr>
        <w:t>,</w:t>
      </w:r>
      <w:r w:rsidR="00AE574D">
        <w:rPr>
          <w:rFonts w:eastAsia="Times New Roman"/>
          <w:color w:val="000000" w:themeColor="text1"/>
        </w:rPr>
        <w:t xml:space="preserve"> la décision de la juge Jagger d’annuler </w:t>
      </w:r>
      <w:r w:rsidR="00A9303F">
        <w:rPr>
          <w:rFonts w:eastAsia="Times New Roman"/>
          <w:color w:val="000000" w:themeColor="text1"/>
        </w:rPr>
        <w:t>la décision de l’agent Ali ayant été rendu</w:t>
      </w:r>
      <w:r w:rsidR="00E810F0">
        <w:rPr>
          <w:rFonts w:eastAsia="Times New Roman"/>
          <w:color w:val="000000" w:themeColor="text1"/>
        </w:rPr>
        <w:t>e</w:t>
      </w:r>
      <w:r w:rsidR="00A9303F">
        <w:rPr>
          <w:rFonts w:eastAsia="Times New Roman"/>
          <w:color w:val="000000" w:themeColor="text1"/>
        </w:rPr>
        <w:t xml:space="preserve"> à bon droit</w:t>
      </w:r>
      <w:r w:rsidRPr="6B4484AB">
        <w:rPr>
          <w:rFonts w:eastAsia="Times New Roman"/>
          <w:color w:val="000000" w:themeColor="text1"/>
        </w:rPr>
        <w:t>.</w:t>
      </w:r>
    </w:p>
    <w:p w14:paraId="5FF98446" w14:textId="1EC4B8BB" w:rsidR="00AD69D7" w:rsidRPr="00A627C4" w:rsidRDefault="009748D4" w:rsidP="6B4484AB">
      <w:pPr>
        <w:pStyle w:val="ListParagraph"/>
        <w:numPr>
          <w:ilvl w:val="0"/>
          <w:numId w:val="7"/>
        </w:numPr>
        <w:spacing w:after="240" w:line="480" w:lineRule="auto"/>
        <w:ind w:left="0" w:firstLine="357"/>
        <w:jc w:val="both"/>
        <w:rPr>
          <w:color w:val="000000" w:themeColor="text1"/>
        </w:rPr>
      </w:pPr>
      <w:r>
        <w:rPr>
          <w:color w:val="000000" w:themeColor="text1"/>
        </w:rPr>
        <w:t xml:space="preserve">Comme l’avance le juge Mandamin dans l’affaire </w:t>
      </w:r>
      <w:r w:rsidRPr="2F76DB4C">
        <w:rPr>
          <w:i/>
          <w:iCs/>
          <w:color w:val="000000" w:themeColor="text1"/>
        </w:rPr>
        <w:t xml:space="preserve">El Werfalli, </w:t>
      </w:r>
      <w:r w:rsidR="00BD34E2">
        <w:rPr>
          <w:color w:val="000000" w:themeColor="text1"/>
        </w:rPr>
        <w:t xml:space="preserve">la temporalité importe dans la </w:t>
      </w:r>
      <w:r w:rsidR="001A6D22">
        <w:rPr>
          <w:color w:val="000000" w:themeColor="text1"/>
        </w:rPr>
        <w:t>qualification de l’appartenance</w:t>
      </w:r>
      <w:r w:rsidR="000E1832">
        <w:rPr>
          <w:color w:val="000000" w:themeColor="text1"/>
        </w:rPr>
        <w:t> : «</w:t>
      </w:r>
      <w:r w:rsidR="00E810F0">
        <w:rPr>
          <w:color w:val="000000" w:themeColor="text1"/>
        </w:rPr>
        <w:t> </w:t>
      </w:r>
      <w:r w:rsidR="000E1832">
        <w:rPr>
          <w:color w:val="000000" w:themeColor="text1"/>
        </w:rPr>
        <w:t>L’interprétation</w:t>
      </w:r>
      <w:r w:rsidR="006E1701">
        <w:rPr>
          <w:color w:val="000000" w:themeColor="text1"/>
        </w:rPr>
        <w:t xml:space="preserve"> [de l’attribut </w:t>
      </w:r>
      <w:r w:rsidR="00E810F0">
        <w:rPr>
          <w:color w:val="000000" w:themeColor="text1"/>
        </w:rPr>
        <w:t>« </w:t>
      </w:r>
      <w:r w:rsidR="006E1701">
        <w:rPr>
          <w:color w:val="000000" w:themeColor="text1"/>
        </w:rPr>
        <w:t>membre</w:t>
      </w:r>
      <w:r w:rsidR="00E810F0">
        <w:rPr>
          <w:color w:val="000000" w:themeColor="text1"/>
        </w:rPr>
        <w:t> »</w:t>
      </w:r>
      <w:r w:rsidR="006E1701">
        <w:rPr>
          <w:color w:val="000000" w:themeColor="text1"/>
        </w:rPr>
        <w:t>] d</w:t>
      </w:r>
      <w:r w:rsidR="005C5853">
        <w:rPr>
          <w:color w:val="000000" w:themeColor="text1"/>
        </w:rPr>
        <w:t>oit […] s’entendre d’une période d’appartenance</w:t>
      </w:r>
      <w:r w:rsidR="00E810F0">
        <w:rPr>
          <w:color w:val="000000" w:themeColor="text1"/>
        </w:rPr>
        <w:t> </w:t>
      </w:r>
      <w:r w:rsidR="005C5853">
        <w:rPr>
          <w:color w:val="000000" w:themeColor="text1"/>
        </w:rPr>
        <w:t>»</w:t>
      </w:r>
      <w:r w:rsidR="00296274">
        <w:rPr>
          <w:rStyle w:val="FootnoteReference"/>
          <w:color w:val="000000" w:themeColor="text1"/>
        </w:rPr>
        <w:footnoteReference w:id="84"/>
      </w:r>
      <w:r w:rsidR="00FA69F2">
        <w:rPr>
          <w:color w:val="000000" w:themeColor="text1"/>
        </w:rPr>
        <w:t>.</w:t>
      </w:r>
      <w:r w:rsidR="00A05A91">
        <w:rPr>
          <w:color w:val="000000" w:themeColor="text1"/>
        </w:rPr>
        <w:t xml:space="preserve"> Suivant cette logique, en l’espèce, </w:t>
      </w:r>
      <w:r w:rsidR="007A1142">
        <w:rPr>
          <w:color w:val="000000" w:themeColor="text1"/>
        </w:rPr>
        <w:t>la juge Jagger a pertinemment identifié deux périodes à traiter de façon distincte, soit la période où M.Chowdhury était affilié au PNB sans être membre</w:t>
      </w:r>
      <w:r w:rsidR="003E18C5">
        <w:rPr>
          <w:color w:val="000000" w:themeColor="text1"/>
        </w:rPr>
        <w:t xml:space="preserve">, entre 2011 et novembre 2013, et la période où M.Chowdhury était officiellement membre par la contrainte, de décembre 2013 à février 2014. </w:t>
      </w:r>
      <w:r w:rsidR="00792575">
        <w:rPr>
          <w:color w:val="000000" w:themeColor="text1"/>
        </w:rPr>
        <w:t xml:space="preserve"> </w:t>
      </w:r>
    </w:p>
    <w:p w14:paraId="25E2B02D" w14:textId="0D86A7AC" w:rsidR="00E15E80" w:rsidRPr="00F51B60" w:rsidRDefault="2540474F" w:rsidP="00F51B60">
      <w:pPr>
        <w:pStyle w:val="ListParagraph"/>
        <w:numPr>
          <w:ilvl w:val="2"/>
          <w:numId w:val="8"/>
        </w:numPr>
        <w:spacing w:after="240" w:line="240" w:lineRule="auto"/>
        <w:jc w:val="both"/>
        <w:rPr>
          <w:b/>
          <w:bCs/>
          <w:color w:val="000000" w:themeColor="text1"/>
          <w:spacing w:val="-5"/>
        </w:rPr>
      </w:pPr>
      <w:r w:rsidRPr="00F51B60">
        <w:rPr>
          <w:rFonts w:eastAsia="Times New Roman"/>
          <w:b/>
          <w:bCs/>
          <w:color w:val="000000" w:themeColor="text1"/>
        </w:rPr>
        <w:t>Le statut de membre du demandeur entre 2011 et novembre 2013</w:t>
      </w:r>
      <w:r w:rsidR="3AD4AE04" w:rsidRPr="00F51B60">
        <w:rPr>
          <w:rFonts w:eastAsia="Times New Roman"/>
          <w:b/>
          <w:bCs/>
          <w:color w:val="000000" w:themeColor="text1"/>
        </w:rPr>
        <w:t xml:space="preserve"> et la défense de contrainte</w:t>
      </w:r>
    </w:p>
    <w:p w14:paraId="5A0A6630" w14:textId="2E57C599" w:rsidR="00E15E80" w:rsidRPr="00A627C4" w:rsidRDefault="2540474F" w:rsidP="194BAC69">
      <w:pPr>
        <w:pStyle w:val="ListParagraph"/>
        <w:numPr>
          <w:ilvl w:val="0"/>
          <w:numId w:val="7"/>
        </w:numPr>
        <w:spacing w:after="240" w:line="480" w:lineRule="auto"/>
        <w:ind w:left="0" w:firstLine="357"/>
        <w:jc w:val="both"/>
        <w:rPr>
          <w:rFonts w:eastAsia="Times New Roman"/>
          <w:color w:val="000000" w:themeColor="text1"/>
        </w:rPr>
      </w:pPr>
      <w:r w:rsidRPr="194BAC69">
        <w:rPr>
          <w:rFonts w:eastAsia="Times New Roman"/>
          <w:color w:val="000000" w:themeColor="text1"/>
        </w:rPr>
        <w:t>Entre 2011 et novembre 2013, M.</w:t>
      </w:r>
      <w:r w:rsidR="00F10972">
        <w:rPr>
          <w:rFonts w:eastAsia="Times New Roman"/>
          <w:color w:val="000000" w:themeColor="text1"/>
        </w:rPr>
        <w:t> </w:t>
      </w:r>
      <w:r w:rsidRPr="194BAC69">
        <w:rPr>
          <w:rFonts w:eastAsia="Times New Roman"/>
          <w:color w:val="000000" w:themeColor="text1"/>
        </w:rPr>
        <w:t>Chowdhury a admis être affilié au PNB, même s’il n’était pas un membre officiel. Ses activités se limit</w:t>
      </w:r>
      <w:r w:rsidR="00ED1A80" w:rsidRPr="194BAC69">
        <w:rPr>
          <w:rFonts w:eastAsia="Times New Roman"/>
          <w:color w:val="000000" w:themeColor="text1"/>
        </w:rPr>
        <w:t>aien</w:t>
      </w:r>
      <w:r w:rsidRPr="194BAC69">
        <w:rPr>
          <w:rFonts w:eastAsia="Times New Roman"/>
          <w:color w:val="000000" w:themeColor="text1"/>
        </w:rPr>
        <w:t xml:space="preserve">t à encourager les gens à voter pour le PNB. L’agent A. Ali </w:t>
      </w:r>
      <w:r w:rsidR="008A7A70" w:rsidRPr="194BAC69">
        <w:rPr>
          <w:rFonts w:eastAsia="Times New Roman"/>
          <w:color w:val="000000" w:themeColor="text1"/>
        </w:rPr>
        <w:t>a conclu</w:t>
      </w:r>
      <w:r w:rsidRPr="194BAC69">
        <w:rPr>
          <w:rFonts w:eastAsia="Times New Roman"/>
          <w:color w:val="000000" w:themeColor="text1"/>
        </w:rPr>
        <w:t xml:space="preserve"> à tort que la défense de contrainte n’</w:t>
      </w:r>
      <w:r w:rsidR="008A7A70" w:rsidRPr="194BAC69">
        <w:rPr>
          <w:rFonts w:eastAsia="Times New Roman"/>
          <w:color w:val="000000" w:themeColor="text1"/>
        </w:rPr>
        <w:t>é</w:t>
      </w:r>
      <w:r w:rsidRPr="194BAC69">
        <w:rPr>
          <w:rFonts w:eastAsia="Times New Roman"/>
          <w:color w:val="000000" w:themeColor="text1"/>
        </w:rPr>
        <w:t>t</w:t>
      </w:r>
      <w:r w:rsidR="008A7A70" w:rsidRPr="194BAC69">
        <w:rPr>
          <w:rFonts w:eastAsia="Times New Roman"/>
          <w:color w:val="000000" w:themeColor="text1"/>
        </w:rPr>
        <w:t>ait</w:t>
      </w:r>
      <w:r w:rsidRPr="194BAC69">
        <w:rPr>
          <w:rFonts w:eastAsia="Times New Roman"/>
          <w:color w:val="000000" w:themeColor="text1"/>
        </w:rPr>
        <w:t xml:space="preserve"> pas pertinente et que </w:t>
      </w:r>
      <w:r w:rsidR="008A7A70" w:rsidRPr="194BAC69">
        <w:rPr>
          <w:rFonts w:eastAsia="Times New Roman"/>
          <w:color w:val="000000" w:themeColor="text1"/>
        </w:rPr>
        <w:t>«</w:t>
      </w:r>
      <w:r w:rsidR="00F10972">
        <w:rPr>
          <w:rFonts w:eastAsia="Times New Roman"/>
          <w:color w:val="000000" w:themeColor="text1"/>
        </w:rPr>
        <w:t> </w:t>
      </w:r>
      <w:r w:rsidRPr="194BAC69">
        <w:rPr>
          <w:rFonts w:eastAsia="Times New Roman"/>
          <w:color w:val="000000" w:themeColor="text1"/>
        </w:rPr>
        <w:t>son statut de membre a été établi pour l’application de l’alinéa</w:t>
      </w:r>
      <w:r w:rsidR="00F10972">
        <w:rPr>
          <w:rFonts w:eastAsia="Times New Roman"/>
          <w:color w:val="000000" w:themeColor="text1"/>
        </w:rPr>
        <w:t> </w:t>
      </w:r>
      <w:r w:rsidRPr="194BAC69">
        <w:rPr>
          <w:rFonts w:eastAsia="Times New Roman"/>
          <w:color w:val="000000" w:themeColor="text1"/>
        </w:rPr>
        <w:t>34</w:t>
      </w:r>
      <w:r w:rsidR="00F10972">
        <w:rPr>
          <w:rFonts w:eastAsia="Times New Roman"/>
          <w:color w:val="000000" w:themeColor="text1"/>
        </w:rPr>
        <w:t xml:space="preserve"> </w:t>
      </w:r>
      <w:r w:rsidRPr="194BAC69">
        <w:rPr>
          <w:rFonts w:eastAsia="Times New Roman"/>
          <w:color w:val="000000" w:themeColor="text1"/>
        </w:rPr>
        <w:t>(1)</w:t>
      </w:r>
      <w:r w:rsidR="00F10972">
        <w:rPr>
          <w:rFonts w:eastAsia="Times New Roman"/>
          <w:color w:val="000000" w:themeColor="text1"/>
        </w:rPr>
        <w:t xml:space="preserve"> </w:t>
      </w:r>
      <w:r w:rsidRPr="194BAC69">
        <w:rPr>
          <w:rFonts w:eastAsia="Times New Roman"/>
          <w:color w:val="000000" w:themeColor="text1"/>
        </w:rPr>
        <w:t>f) de la LIPR</w:t>
      </w:r>
      <w:r w:rsidR="00F10972">
        <w:rPr>
          <w:rFonts w:eastAsia="Times New Roman"/>
          <w:color w:val="000000" w:themeColor="text1"/>
        </w:rPr>
        <w:t> </w:t>
      </w:r>
      <w:r w:rsidR="008A7A70" w:rsidRPr="194BAC69">
        <w:rPr>
          <w:rFonts w:eastAsia="Times New Roman"/>
          <w:color w:val="000000" w:themeColor="text1"/>
        </w:rPr>
        <w:t>»</w:t>
      </w:r>
      <w:r w:rsidRPr="194BAC69">
        <w:rPr>
          <w:rFonts w:eastAsia="Times New Roman"/>
          <w:color w:val="000000" w:themeColor="text1"/>
        </w:rPr>
        <w:t xml:space="preserve"> à la lumière </w:t>
      </w:r>
      <w:r w:rsidR="008A7A70" w:rsidRPr="194BAC69">
        <w:rPr>
          <w:rFonts w:eastAsia="Times New Roman"/>
          <w:color w:val="000000" w:themeColor="text1"/>
        </w:rPr>
        <w:t>«</w:t>
      </w:r>
      <w:r w:rsidR="00F10972">
        <w:rPr>
          <w:rFonts w:eastAsia="Times New Roman"/>
          <w:color w:val="000000" w:themeColor="text1"/>
        </w:rPr>
        <w:t> </w:t>
      </w:r>
      <w:r w:rsidRPr="194BAC69">
        <w:rPr>
          <w:rFonts w:eastAsia="Times New Roman"/>
          <w:color w:val="000000" w:themeColor="text1"/>
        </w:rPr>
        <w:t>des activités de M.</w:t>
      </w:r>
      <w:r w:rsidR="00F10972">
        <w:rPr>
          <w:rFonts w:eastAsia="Times New Roman"/>
          <w:color w:val="000000" w:themeColor="text1"/>
        </w:rPr>
        <w:t> </w:t>
      </w:r>
      <w:r w:rsidRPr="194BAC69">
        <w:rPr>
          <w:rFonts w:eastAsia="Times New Roman"/>
          <w:color w:val="000000" w:themeColor="text1"/>
        </w:rPr>
        <w:t>Chowdhury entre 2011 et novembre 2013, période pendant laquelle il n’œuvrait pas sous la menace</w:t>
      </w:r>
      <w:r w:rsidR="00F10972">
        <w:rPr>
          <w:rFonts w:eastAsia="Times New Roman"/>
          <w:color w:val="000000" w:themeColor="text1"/>
        </w:rPr>
        <w:t> </w:t>
      </w:r>
      <w:r w:rsidR="00C66837" w:rsidRPr="194BAC69">
        <w:rPr>
          <w:rFonts w:eastAsia="Times New Roman"/>
          <w:color w:val="000000" w:themeColor="text1"/>
        </w:rPr>
        <w:t>»</w:t>
      </w:r>
      <w:r w:rsidRPr="194BAC69">
        <w:rPr>
          <w:rFonts w:eastAsia="Times New Roman"/>
          <w:color w:val="000000" w:themeColor="text1"/>
        </w:rPr>
        <w:t>.</w:t>
      </w:r>
    </w:p>
    <w:p w14:paraId="3DDA1DBF" w14:textId="1C7B6F8F" w:rsidR="00222CB0" w:rsidRPr="00A627C4" w:rsidRDefault="4F72153F" w:rsidP="3766D52C">
      <w:pPr>
        <w:pStyle w:val="ListParagraph"/>
        <w:numPr>
          <w:ilvl w:val="0"/>
          <w:numId w:val="7"/>
        </w:numPr>
        <w:spacing w:after="240" w:line="480" w:lineRule="auto"/>
        <w:ind w:left="0" w:firstLine="357"/>
        <w:jc w:val="both"/>
        <w:rPr>
          <w:color w:val="000000" w:themeColor="text1"/>
        </w:rPr>
      </w:pPr>
      <w:r w:rsidRPr="7191260C">
        <w:rPr>
          <w:rFonts w:eastAsia="Times New Roman"/>
          <w:color w:val="000000" w:themeColor="text1"/>
        </w:rPr>
        <w:t>E</w:t>
      </w:r>
      <w:r w:rsidR="424FCA38" w:rsidRPr="7191260C">
        <w:rPr>
          <w:rFonts w:eastAsia="Times New Roman"/>
          <w:color w:val="000000" w:themeColor="text1"/>
        </w:rPr>
        <w:t>n</w:t>
      </w:r>
      <w:r w:rsidR="424FCA38" w:rsidRPr="381C0133">
        <w:rPr>
          <w:rFonts w:eastAsia="Times New Roman"/>
          <w:color w:val="000000" w:themeColor="text1"/>
        </w:rPr>
        <w:t xml:space="preserve"> l’espèce, </w:t>
      </w:r>
      <w:r w:rsidR="004B6262">
        <w:rPr>
          <w:rFonts w:eastAsia="Times New Roman"/>
          <w:color w:val="000000" w:themeColor="text1"/>
        </w:rPr>
        <w:t xml:space="preserve">il est vrai que </w:t>
      </w:r>
      <w:r w:rsidR="424FCA38" w:rsidRPr="381C0133">
        <w:rPr>
          <w:rFonts w:eastAsia="Times New Roman"/>
          <w:color w:val="000000" w:themeColor="text1"/>
        </w:rPr>
        <w:t>M.</w:t>
      </w:r>
      <w:r w:rsidR="00F10972">
        <w:rPr>
          <w:rFonts w:eastAsia="Times New Roman"/>
          <w:color w:val="000000" w:themeColor="text1"/>
        </w:rPr>
        <w:t> </w:t>
      </w:r>
      <w:r w:rsidR="2540474F" w:rsidRPr="6B4484AB">
        <w:rPr>
          <w:rFonts w:eastAsia="Times New Roman"/>
          <w:color w:val="000000" w:themeColor="text1"/>
        </w:rPr>
        <w:t xml:space="preserve">Chowdhury </w:t>
      </w:r>
      <w:r w:rsidR="74E2E153" w:rsidRPr="465F4309">
        <w:rPr>
          <w:rFonts w:eastAsia="Times New Roman"/>
          <w:color w:val="000000" w:themeColor="text1"/>
        </w:rPr>
        <w:t xml:space="preserve">a </w:t>
      </w:r>
      <w:r w:rsidR="74E2E153" w:rsidRPr="4044083C">
        <w:rPr>
          <w:rFonts w:eastAsia="Times New Roman"/>
          <w:color w:val="000000" w:themeColor="text1"/>
        </w:rPr>
        <w:t xml:space="preserve">recruté des membres pour le PNB et il a encouragé des gens à voter pour le </w:t>
      </w:r>
      <w:r w:rsidR="74E2E153" w:rsidRPr="5CEC95DD">
        <w:rPr>
          <w:rFonts w:eastAsia="Times New Roman"/>
          <w:color w:val="000000" w:themeColor="text1"/>
        </w:rPr>
        <w:t xml:space="preserve">PNB. </w:t>
      </w:r>
      <w:r w:rsidR="00A77D0C">
        <w:rPr>
          <w:rFonts w:eastAsia="Times New Roman"/>
          <w:color w:val="000000" w:themeColor="text1"/>
        </w:rPr>
        <w:t>Il croyait que le parti allait assurer le maintien de la démocratie au Bangladesh</w:t>
      </w:r>
      <w:r w:rsidR="00214A0B">
        <w:rPr>
          <w:rStyle w:val="FootnoteReference"/>
          <w:rFonts w:eastAsia="Times New Roman"/>
          <w:color w:val="000000" w:themeColor="text1"/>
        </w:rPr>
        <w:footnoteReference w:id="85"/>
      </w:r>
      <w:r w:rsidR="00D54A08">
        <w:rPr>
          <w:rFonts w:eastAsia="Times New Roman"/>
          <w:color w:val="000000" w:themeColor="text1"/>
        </w:rPr>
        <w:t xml:space="preserve">. </w:t>
      </w:r>
      <w:r w:rsidR="0BB0B404" w:rsidRPr="27B00A36">
        <w:rPr>
          <w:rFonts w:eastAsia="Times New Roman"/>
          <w:color w:val="000000" w:themeColor="text1"/>
        </w:rPr>
        <w:t>Il a consacré</w:t>
      </w:r>
      <w:r w:rsidR="0BB0B404" w:rsidRPr="3F5BF175">
        <w:rPr>
          <w:rFonts w:eastAsia="Times New Roman"/>
          <w:color w:val="000000" w:themeColor="text1"/>
        </w:rPr>
        <w:t xml:space="preserve"> du temps </w:t>
      </w:r>
      <w:r w:rsidR="31B8EF2D" w:rsidRPr="3CC43EC5">
        <w:rPr>
          <w:rFonts w:eastAsia="Times New Roman"/>
          <w:color w:val="000000" w:themeColor="text1"/>
        </w:rPr>
        <w:t>par semaine pour recruter des gens.</w:t>
      </w:r>
      <w:r w:rsidR="0BB0B404" w:rsidRPr="687DF266">
        <w:rPr>
          <w:rFonts w:eastAsia="Times New Roman"/>
          <w:color w:val="000000" w:themeColor="text1"/>
        </w:rPr>
        <w:t xml:space="preserve"> </w:t>
      </w:r>
      <w:r w:rsidR="74E2E153" w:rsidRPr="5CEC95DD">
        <w:rPr>
          <w:rFonts w:eastAsia="Times New Roman"/>
          <w:color w:val="000000" w:themeColor="text1"/>
        </w:rPr>
        <w:t xml:space="preserve">Il n’y a aucune </w:t>
      </w:r>
      <w:r w:rsidR="7A6D9B2B" w:rsidRPr="17DDE041">
        <w:rPr>
          <w:rFonts w:eastAsia="Times New Roman"/>
          <w:color w:val="000000" w:themeColor="text1"/>
        </w:rPr>
        <w:t>autre</w:t>
      </w:r>
      <w:r w:rsidR="74E2E153" w:rsidRPr="17DDE041">
        <w:rPr>
          <w:rFonts w:eastAsia="Times New Roman"/>
          <w:color w:val="000000" w:themeColor="text1"/>
        </w:rPr>
        <w:t xml:space="preserve"> </w:t>
      </w:r>
      <w:r w:rsidR="74E2E153" w:rsidRPr="5CEC95DD">
        <w:rPr>
          <w:rFonts w:eastAsia="Times New Roman"/>
          <w:color w:val="000000" w:themeColor="text1"/>
        </w:rPr>
        <w:t xml:space="preserve">mention de </w:t>
      </w:r>
      <w:r w:rsidR="4AC461DF" w:rsidRPr="3CC43EC5">
        <w:rPr>
          <w:rFonts w:eastAsia="Times New Roman"/>
          <w:color w:val="000000" w:themeColor="text1"/>
        </w:rPr>
        <w:t xml:space="preserve">son intention au sein </w:t>
      </w:r>
      <w:r w:rsidR="4AC461DF" w:rsidRPr="17DDE041">
        <w:rPr>
          <w:rFonts w:eastAsia="Times New Roman"/>
          <w:color w:val="000000" w:themeColor="text1"/>
        </w:rPr>
        <w:t>du parti</w:t>
      </w:r>
      <w:r w:rsidR="00922A1D">
        <w:rPr>
          <w:rFonts w:eastAsia="Times New Roman"/>
          <w:color w:val="000000" w:themeColor="text1"/>
        </w:rPr>
        <w:t xml:space="preserve"> ou les desseins qu’il visait</w:t>
      </w:r>
      <w:r w:rsidR="4AC461DF" w:rsidRPr="17DDE041">
        <w:rPr>
          <w:rFonts w:eastAsia="Times New Roman"/>
          <w:color w:val="000000" w:themeColor="text1"/>
        </w:rPr>
        <w:t>.</w:t>
      </w:r>
      <w:r w:rsidR="74E2E153" w:rsidRPr="17DDE041">
        <w:rPr>
          <w:rFonts w:eastAsia="Times New Roman"/>
          <w:color w:val="000000" w:themeColor="text1"/>
        </w:rPr>
        <w:t xml:space="preserve"> </w:t>
      </w:r>
      <w:r w:rsidR="410BBF34" w:rsidRPr="17DDE041">
        <w:rPr>
          <w:rFonts w:eastAsia="Times New Roman"/>
          <w:color w:val="000000" w:themeColor="text1"/>
        </w:rPr>
        <w:t xml:space="preserve">Il ne participait pas à des activités militaires </w:t>
      </w:r>
      <w:r w:rsidR="410BBF34" w:rsidRPr="1AD577AA">
        <w:rPr>
          <w:rFonts w:eastAsia="Times New Roman"/>
          <w:color w:val="000000" w:themeColor="text1"/>
        </w:rPr>
        <w:t xml:space="preserve">ou </w:t>
      </w:r>
      <w:r w:rsidR="410BBF34" w:rsidRPr="2DB60D22">
        <w:rPr>
          <w:rFonts w:eastAsia="Times New Roman"/>
          <w:color w:val="000000" w:themeColor="text1"/>
        </w:rPr>
        <w:t>combattantes.</w:t>
      </w:r>
      <w:r w:rsidR="410BBF34" w:rsidRPr="1AD577AA">
        <w:rPr>
          <w:rFonts w:eastAsia="Times New Roman"/>
          <w:color w:val="000000" w:themeColor="text1"/>
        </w:rPr>
        <w:t xml:space="preserve"> </w:t>
      </w:r>
      <w:r w:rsidR="410BBF34" w:rsidRPr="2DB60D22">
        <w:rPr>
          <w:rFonts w:eastAsia="Times New Roman"/>
          <w:color w:val="000000" w:themeColor="text1"/>
        </w:rPr>
        <w:t>Il ne pou</w:t>
      </w:r>
      <w:r w:rsidR="00316ACB">
        <w:rPr>
          <w:rFonts w:eastAsia="Times New Roman"/>
          <w:color w:val="000000" w:themeColor="text1"/>
        </w:rPr>
        <w:t>v</w:t>
      </w:r>
      <w:r w:rsidR="410BBF34" w:rsidRPr="2DB60D22">
        <w:rPr>
          <w:rFonts w:eastAsia="Times New Roman"/>
          <w:color w:val="000000" w:themeColor="text1"/>
        </w:rPr>
        <w:t>ait pas influencer</w:t>
      </w:r>
      <w:r w:rsidR="15520B93" w:rsidRPr="2DB60D22">
        <w:rPr>
          <w:rFonts w:eastAsia="Times New Roman"/>
          <w:color w:val="000000" w:themeColor="text1"/>
        </w:rPr>
        <w:t xml:space="preserve"> à lui seul </w:t>
      </w:r>
      <w:r w:rsidR="15520B93" w:rsidRPr="1CBD2F66">
        <w:rPr>
          <w:rFonts w:eastAsia="Times New Roman"/>
          <w:color w:val="000000" w:themeColor="text1"/>
        </w:rPr>
        <w:t xml:space="preserve">les résultats électoraux du </w:t>
      </w:r>
      <w:r w:rsidR="15520B93" w:rsidRPr="3DBBF234">
        <w:rPr>
          <w:rFonts w:eastAsia="Times New Roman"/>
          <w:color w:val="000000" w:themeColor="text1"/>
        </w:rPr>
        <w:t>Bangladesh en consacrant quelques heures par semaine à un parti poli</w:t>
      </w:r>
      <w:r w:rsidR="2C772D1D" w:rsidRPr="3DBBF234">
        <w:rPr>
          <w:rFonts w:eastAsia="Times New Roman"/>
          <w:color w:val="000000" w:themeColor="text1"/>
        </w:rPr>
        <w:t>tique.</w:t>
      </w:r>
      <w:r w:rsidR="410BBF34" w:rsidRPr="2DB60D22">
        <w:rPr>
          <w:rFonts w:eastAsia="Times New Roman"/>
          <w:color w:val="000000" w:themeColor="text1"/>
        </w:rPr>
        <w:t xml:space="preserve"> </w:t>
      </w:r>
      <w:r w:rsidR="4FAD751C" w:rsidRPr="3DBBF234">
        <w:rPr>
          <w:rFonts w:eastAsia="Times New Roman"/>
          <w:color w:val="000000" w:themeColor="text1"/>
        </w:rPr>
        <w:t>Il n’a ni participé ni encouragé la participation aux</w:t>
      </w:r>
      <w:r w:rsidR="1F3D1C0E" w:rsidRPr="2DB60D22">
        <w:rPr>
          <w:rFonts w:eastAsia="Times New Roman"/>
          <w:color w:val="000000" w:themeColor="text1"/>
        </w:rPr>
        <w:t xml:space="preserve"> </w:t>
      </w:r>
      <w:r w:rsidR="4FAD751C" w:rsidRPr="2F76DB4C">
        <w:rPr>
          <w:rFonts w:eastAsia="Times New Roman"/>
          <w:i/>
          <w:iCs/>
          <w:color w:val="000000" w:themeColor="text1"/>
        </w:rPr>
        <w:t>hartals.</w:t>
      </w:r>
      <w:r w:rsidR="1F3D1C0E" w:rsidRPr="2DB60D22">
        <w:rPr>
          <w:rFonts w:eastAsia="Times New Roman"/>
          <w:color w:val="000000" w:themeColor="text1"/>
        </w:rPr>
        <w:t xml:space="preserve"> </w:t>
      </w:r>
      <w:r w:rsidR="14FAF5F5" w:rsidRPr="381C0133">
        <w:rPr>
          <w:rFonts w:eastAsia="Times New Roman"/>
          <w:color w:val="000000" w:themeColor="text1"/>
        </w:rPr>
        <w:t>Selon</w:t>
      </w:r>
      <w:r w:rsidR="6C0999DF" w:rsidRPr="381C0133">
        <w:rPr>
          <w:rFonts w:eastAsia="Times New Roman"/>
          <w:color w:val="000000" w:themeColor="text1"/>
        </w:rPr>
        <w:t xml:space="preserve"> les critères énoncés dans la section</w:t>
      </w:r>
      <w:r w:rsidR="00F10972">
        <w:rPr>
          <w:rFonts w:eastAsia="Times New Roman"/>
          <w:color w:val="000000" w:themeColor="text1"/>
        </w:rPr>
        <w:t> </w:t>
      </w:r>
      <w:r w:rsidR="6C0999DF" w:rsidRPr="381C0133">
        <w:rPr>
          <w:rFonts w:eastAsia="Times New Roman"/>
          <w:color w:val="000000" w:themeColor="text1"/>
        </w:rPr>
        <w:t>3.1</w:t>
      </w:r>
      <w:r w:rsidR="55305FB0" w:rsidRPr="381C0133">
        <w:rPr>
          <w:rFonts w:eastAsia="Times New Roman"/>
          <w:color w:val="000000" w:themeColor="text1"/>
        </w:rPr>
        <w:t>,</w:t>
      </w:r>
      <w:r w:rsidR="70147738" w:rsidRPr="381C0133">
        <w:rPr>
          <w:rFonts w:eastAsia="Times New Roman"/>
          <w:color w:val="000000" w:themeColor="text1"/>
        </w:rPr>
        <w:t xml:space="preserve"> </w:t>
      </w:r>
      <w:r w:rsidR="70147738" w:rsidRPr="17DDE041">
        <w:rPr>
          <w:rFonts w:eastAsia="Times New Roman"/>
          <w:color w:val="000000" w:themeColor="text1"/>
        </w:rPr>
        <w:t>il</w:t>
      </w:r>
      <w:r w:rsidR="74E2E153" w:rsidRPr="3CC43EC5">
        <w:rPr>
          <w:rFonts w:eastAsia="Times New Roman"/>
          <w:color w:val="000000" w:themeColor="text1"/>
        </w:rPr>
        <w:t xml:space="preserve"> </w:t>
      </w:r>
      <w:r w:rsidR="13B6AB6C" w:rsidRPr="4044083C">
        <w:rPr>
          <w:rFonts w:eastAsia="Times New Roman"/>
          <w:color w:val="000000" w:themeColor="text1"/>
        </w:rPr>
        <w:t>n’avait</w:t>
      </w:r>
      <w:r w:rsidR="2540474F" w:rsidRPr="6B4484AB">
        <w:rPr>
          <w:rFonts w:eastAsia="Times New Roman"/>
          <w:color w:val="000000" w:themeColor="text1"/>
        </w:rPr>
        <w:t xml:space="preserve"> pas un degré de participation assez élevé pour arriver à </w:t>
      </w:r>
      <w:r w:rsidR="365FCF1E" w:rsidRPr="17DDE041">
        <w:rPr>
          <w:rFonts w:eastAsia="Times New Roman"/>
          <w:color w:val="000000" w:themeColor="text1"/>
        </w:rPr>
        <w:t>la</w:t>
      </w:r>
      <w:r w:rsidR="2540474F" w:rsidRPr="6B4484AB">
        <w:rPr>
          <w:rFonts w:eastAsia="Times New Roman"/>
          <w:color w:val="000000" w:themeColor="text1"/>
        </w:rPr>
        <w:t xml:space="preserve"> conclusion</w:t>
      </w:r>
      <w:r w:rsidR="26EB7F6B" w:rsidRPr="17DDE041">
        <w:rPr>
          <w:rFonts w:eastAsia="Times New Roman"/>
          <w:color w:val="000000" w:themeColor="text1"/>
        </w:rPr>
        <w:t xml:space="preserve"> </w:t>
      </w:r>
      <w:r w:rsidR="26EB7F6B" w:rsidRPr="381C0133">
        <w:rPr>
          <w:rFonts w:eastAsia="Times New Roman"/>
          <w:color w:val="000000" w:themeColor="text1"/>
        </w:rPr>
        <w:t>qu</w:t>
      </w:r>
      <w:r w:rsidR="00F10972">
        <w:rPr>
          <w:rFonts w:eastAsia="Times New Roman"/>
          <w:color w:val="000000" w:themeColor="text1"/>
        </w:rPr>
        <w:t>’</w:t>
      </w:r>
      <w:r w:rsidR="6A6DC97E" w:rsidRPr="381C0133">
        <w:rPr>
          <w:rFonts w:eastAsia="Times New Roman"/>
          <w:color w:val="000000" w:themeColor="text1"/>
        </w:rPr>
        <w:t>il</w:t>
      </w:r>
      <w:r w:rsidR="26EB7F6B" w:rsidRPr="17DDE041">
        <w:rPr>
          <w:rFonts w:eastAsia="Times New Roman"/>
          <w:color w:val="000000" w:themeColor="text1"/>
        </w:rPr>
        <w:t xml:space="preserve"> était </w:t>
      </w:r>
      <w:r w:rsidR="620EFEA7" w:rsidRPr="17DDE041">
        <w:rPr>
          <w:rFonts w:eastAsia="Times New Roman"/>
          <w:color w:val="000000" w:themeColor="text1"/>
        </w:rPr>
        <w:t>véritablement</w:t>
      </w:r>
      <w:r w:rsidR="26EB7F6B" w:rsidRPr="17DDE041">
        <w:rPr>
          <w:rFonts w:eastAsia="Times New Roman"/>
          <w:color w:val="000000" w:themeColor="text1"/>
        </w:rPr>
        <w:t xml:space="preserve"> membre du PNB</w:t>
      </w:r>
      <w:r w:rsidR="00D54A08">
        <w:rPr>
          <w:rFonts w:eastAsia="Times New Roman"/>
          <w:color w:val="000000" w:themeColor="text1"/>
        </w:rPr>
        <w:t xml:space="preserve">, et surtout </w:t>
      </w:r>
      <w:r w:rsidR="004A7464">
        <w:rPr>
          <w:rFonts w:eastAsia="Times New Roman"/>
          <w:color w:val="000000" w:themeColor="text1"/>
        </w:rPr>
        <w:t>pas qu’il avait l’intention d’être membre d’une organisation qui serait visée par l’alinéa 34</w:t>
      </w:r>
      <w:r w:rsidR="00F10972">
        <w:rPr>
          <w:rFonts w:eastAsia="Times New Roman"/>
          <w:color w:val="000000" w:themeColor="text1"/>
        </w:rPr>
        <w:t xml:space="preserve"> </w:t>
      </w:r>
      <w:r w:rsidR="004A7464">
        <w:rPr>
          <w:rFonts w:eastAsia="Times New Roman"/>
          <w:color w:val="000000" w:themeColor="text1"/>
        </w:rPr>
        <w:t>(1) b) de la LIPR, tel que le prescrit l’</w:t>
      </w:r>
      <w:r w:rsidR="000F54F5">
        <w:rPr>
          <w:rFonts w:eastAsia="Times New Roman"/>
          <w:color w:val="000000" w:themeColor="text1"/>
        </w:rPr>
        <w:t>interprétation</w:t>
      </w:r>
      <w:r w:rsidR="004A7464">
        <w:rPr>
          <w:rFonts w:eastAsia="Times New Roman"/>
          <w:color w:val="000000" w:themeColor="text1"/>
        </w:rPr>
        <w:t xml:space="preserve"> intégrative</w:t>
      </w:r>
      <w:r w:rsidR="000F54F5">
        <w:rPr>
          <w:rFonts w:eastAsia="Times New Roman"/>
          <w:color w:val="000000" w:themeColor="text1"/>
        </w:rPr>
        <w:t xml:space="preserve"> de l’alinéa</w:t>
      </w:r>
      <w:r w:rsidR="00F10972">
        <w:rPr>
          <w:rFonts w:eastAsia="Times New Roman"/>
          <w:color w:val="000000" w:themeColor="text1"/>
        </w:rPr>
        <w:t> </w:t>
      </w:r>
      <w:r w:rsidR="000F54F5">
        <w:rPr>
          <w:rFonts w:eastAsia="Times New Roman"/>
          <w:color w:val="000000" w:themeColor="text1"/>
        </w:rPr>
        <w:t>34</w:t>
      </w:r>
      <w:r w:rsidR="00F10972">
        <w:rPr>
          <w:rFonts w:eastAsia="Times New Roman"/>
          <w:color w:val="000000" w:themeColor="text1"/>
        </w:rPr>
        <w:t xml:space="preserve"> </w:t>
      </w:r>
      <w:r w:rsidR="000F54F5">
        <w:rPr>
          <w:rFonts w:eastAsia="Times New Roman"/>
          <w:color w:val="000000" w:themeColor="text1"/>
        </w:rPr>
        <w:t>(1) f) de la LIPR</w:t>
      </w:r>
      <w:r w:rsidR="004A7464">
        <w:rPr>
          <w:rFonts w:eastAsia="Times New Roman"/>
          <w:color w:val="000000" w:themeColor="text1"/>
        </w:rPr>
        <w:t xml:space="preserve"> d</w:t>
      </w:r>
      <w:r w:rsidR="000F54F5">
        <w:rPr>
          <w:rFonts w:eastAsia="Times New Roman"/>
          <w:color w:val="000000" w:themeColor="text1"/>
        </w:rPr>
        <w:t>ans</w:t>
      </w:r>
      <w:r w:rsidR="004A7464">
        <w:rPr>
          <w:rFonts w:eastAsia="Times New Roman"/>
          <w:color w:val="000000" w:themeColor="text1"/>
        </w:rPr>
        <w:t xml:space="preserve"> l’affaire </w:t>
      </w:r>
      <w:r w:rsidR="004A7464" w:rsidRPr="2F76DB4C">
        <w:rPr>
          <w:rFonts w:eastAsia="Times New Roman"/>
          <w:i/>
          <w:iCs/>
          <w:color w:val="000000" w:themeColor="text1"/>
        </w:rPr>
        <w:t>El Werfalli</w:t>
      </w:r>
      <w:r w:rsidR="007926A0" w:rsidRPr="2F76DB4C">
        <w:rPr>
          <w:rFonts w:eastAsia="Times New Roman"/>
          <w:i/>
          <w:iCs/>
          <w:color w:val="000000" w:themeColor="text1"/>
        </w:rPr>
        <w:t xml:space="preserve"> </w:t>
      </w:r>
      <w:r w:rsidR="000F54F5">
        <w:rPr>
          <w:rFonts w:eastAsia="Times New Roman"/>
          <w:color w:val="000000" w:themeColor="text1"/>
        </w:rPr>
        <w:t>tel qu’</w:t>
      </w:r>
      <w:r w:rsidR="007926A0">
        <w:rPr>
          <w:rFonts w:eastAsia="Times New Roman"/>
          <w:color w:val="000000" w:themeColor="text1"/>
        </w:rPr>
        <w:t>exposé à la section</w:t>
      </w:r>
      <w:r w:rsidR="00F10972">
        <w:rPr>
          <w:rFonts w:eastAsia="Times New Roman"/>
          <w:color w:val="000000" w:themeColor="text1"/>
        </w:rPr>
        <w:t> </w:t>
      </w:r>
      <w:r w:rsidR="007926A0">
        <w:rPr>
          <w:rFonts w:eastAsia="Times New Roman"/>
          <w:color w:val="000000" w:themeColor="text1"/>
        </w:rPr>
        <w:t>3.1</w:t>
      </w:r>
      <w:r w:rsidR="000F54F5" w:rsidRPr="5A667813">
        <w:rPr>
          <w:rStyle w:val="FootnoteReference"/>
          <w:rFonts w:eastAsia="Times New Roman"/>
          <w:color w:val="000000" w:themeColor="text1"/>
        </w:rPr>
        <w:footnoteReference w:id="86"/>
      </w:r>
      <w:r w:rsidR="26EB7F6B" w:rsidRPr="17DDE041">
        <w:rPr>
          <w:rFonts w:eastAsia="Times New Roman"/>
          <w:color w:val="000000" w:themeColor="text1"/>
        </w:rPr>
        <w:t xml:space="preserve">. </w:t>
      </w:r>
      <w:r w:rsidR="26EB7F6B" w:rsidRPr="20011E64">
        <w:rPr>
          <w:rFonts w:eastAsia="Times New Roman"/>
          <w:color w:val="000000" w:themeColor="text1"/>
        </w:rPr>
        <w:t xml:space="preserve">Ces tâches n’étaient pas </w:t>
      </w:r>
      <w:r w:rsidR="0089BE5F" w:rsidRPr="20011E64">
        <w:rPr>
          <w:rFonts w:eastAsia="Times New Roman"/>
          <w:color w:val="000000" w:themeColor="text1"/>
        </w:rPr>
        <w:t xml:space="preserve">particulièrement </w:t>
      </w:r>
      <w:r w:rsidR="781F4DD8" w:rsidRPr="20011E64">
        <w:rPr>
          <w:rFonts w:eastAsia="Times New Roman"/>
          <w:color w:val="000000" w:themeColor="text1"/>
        </w:rPr>
        <w:t>différentes</w:t>
      </w:r>
      <w:r w:rsidR="26EB7F6B" w:rsidRPr="20011E64">
        <w:rPr>
          <w:rFonts w:eastAsia="Times New Roman"/>
          <w:color w:val="000000" w:themeColor="text1"/>
        </w:rPr>
        <w:t xml:space="preserve"> d’une distribution </w:t>
      </w:r>
      <w:r w:rsidR="26EB7F6B" w:rsidRPr="5AFFB322">
        <w:rPr>
          <w:rFonts w:eastAsia="Times New Roman"/>
          <w:color w:val="000000" w:themeColor="text1"/>
        </w:rPr>
        <w:t>de tracts</w:t>
      </w:r>
      <w:r w:rsidR="036D586A" w:rsidRPr="5AFFB322">
        <w:rPr>
          <w:rFonts w:eastAsia="Times New Roman"/>
          <w:color w:val="000000" w:themeColor="text1"/>
        </w:rPr>
        <w:t xml:space="preserve"> et il ne</w:t>
      </w:r>
      <w:r w:rsidR="036D586A" w:rsidRPr="25701CE3">
        <w:rPr>
          <w:rFonts w:eastAsia="Times New Roman"/>
          <w:color w:val="000000" w:themeColor="text1"/>
        </w:rPr>
        <w:t xml:space="preserve"> «</w:t>
      </w:r>
      <w:r w:rsidR="00F10972">
        <w:rPr>
          <w:rFonts w:eastAsia="Times New Roman"/>
          <w:color w:val="000000" w:themeColor="text1"/>
        </w:rPr>
        <w:t> </w:t>
      </w:r>
      <w:r w:rsidR="036D586A" w:rsidRPr="25701CE3">
        <w:rPr>
          <w:rFonts w:eastAsia="Times New Roman"/>
          <w:color w:val="000000" w:themeColor="text1"/>
        </w:rPr>
        <w:t>se dévou</w:t>
      </w:r>
      <w:r w:rsidR="00F10972">
        <w:rPr>
          <w:rFonts w:eastAsia="Times New Roman"/>
          <w:color w:val="000000" w:themeColor="text1"/>
        </w:rPr>
        <w:t xml:space="preserve"> </w:t>
      </w:r>
      <w:r w:rsidR="036D586A" w:rsidRPr="25701CE3">
        <w:rPr>
          <w:rFonts w:eastAsia="Times New Roman"/>
          <w:color w:val="000000" w:themeColor="text1"/>
        </w:rPr>
        <w:t>[ait pas] de façon significative à l’atteinte des buts</w:t>
      </w:r>
      <w:r w:rsidR="00F10972">
        <w:rPr>
          <w:rFonts w:eastAsia="Times New Roman"/>
          <w:color w:val="000000" w:themeColor="text1"/>
        </w:rPr>
        <w:t> </w:t>
      </w:r>
      <w:r w:rsidR="036D586A" w:rsidRPr="25701CE3">
        <w:rPr>
          <w:rFonts w:eastAsia="Times New Roman"/>
          <w:color w:val="000000" w:themeColor="text1"/>
        </w:rPr>
        <w:t>» de l’organisation</w:t>
      </w:r>
      <w:r w:rsidR="13B6AB6C" w:rsidRPr="792BE4E6">
        <w:rPr>
          <w:rStyle w:val="FootnoteReference"/>
          <w:rFonts w:eastAsia="Times New Roman"/>
          <w:color w:val="000000" w:themeColor="text1"/>
        </w:rPr>
        <w:footnoteReference w:id="87"/>
      </w:r>
      <w:r w:rsidR="7F6434FF" w:rsidRPr="5AFFB322">
        <w:rPr>
          <w:rFonts w:eastAsia="Times New Roman"/>
          <w:color w:val="000000" w:themeColor="text1"/>
        </w:rPr>
        <w:t xml:space="preserve">. </w:t>
      </w:r>
      <w:r w:rsidR="2540474F" w:rsidRPr="6B4484AB">
        <w:rPr>
          <w:rFonts w:eastAsia="Times New Roman"/>
          <w:color w:val="000000" w:themeColor="text1"/>
          <w:u w:val="single"/>
        </w:rPr>
        <w:t>La défense de contrainte n’est pas pertinente dans cet intervalle.</w:t>
      </w:r>
    </w:p>
    <w:p w14:paraId="1AE49AC7" w14:textId="67D72B76" w:rsidR="00E15E80" w:rsidRPr="00E03756" w:rsidRDefault="7E2D4395" w:rsidP="00CA2D80">
      <w:pPr>
        <w:pStyle w:val="ListParagraph"/>
        <w:numPr>
          <w:ilvl w:val="2"/>
          <w:numId w:val="8"/>
        </w:numPr>
        <w:spacing w:after="240" w:line="240" w:lineRule="auto"/>
        <w:jc w:val="both"/>
        <w:rPr>
          <w:rFonts w:eastAsia="Times New Roman"/>
          <w:b/>
          <w:color w:val="000000" w:themeColor="text1"/>
        </w:rPr>
      </w:pPr>
      <w:r w:rsidRPr="00E03756">
        <w:rPr>
          <w:rFonts w:eastAsia="Times New Roman"/>
          <w:b/>
          <w:color w:val="000000" w:themeColor="text1"/>
        </w:rPr>
        <w:t xml:space="preserve">Le statut de membre du demandeur </w:t>
      </w:r>
      <w:r w:rsidRPr="00E03756">
        <w:rPr>
          <w:rFonts w:eastAsia="Times New Roman"/>
          <w:b/>
          <w:bCs/>
          <w:color w:val="000000" w:themeColor="text1"/>
        </w:rPr>
        <w:t xml:space="preserve">entre </w:t>
      </w:r>
      <w:r w:rsidR="380BEBAF" w:rsidRPr="00E03756">
        <w:rPr>
          <w:rFonts w:eastAsia="Times New Roman"/>
          <w:b/>
          <w:bCs/>
          <w:color w:val="000000" w:themeColor="text1"/>
        </w:rPr>
        <w:t xml:space="preserve">décembre </w:t>
      </w:r>
      <w:r w:rsidR="642D8852" w:rsidRPr="00E03756">
        <w:rPr>
          <w:rFonts w:eastAsia="Times New Roman"/>
          <w:b/>
          <w:bCs/>
          <w:color w:val="000000" w:themeColor="text1"/>
        </w:rPr>
        <w:t>2013</w:t>
      </w:r>
      <w:r w:rsidRPr="00E03756">
        <w:rPr>
          <w:rFonts w:eastAsia="Times New Roman"/>
          <w:b/>
          <w:bCs/>
          <w:color w:val="000000" w:themeColor="text1"/>
        </w:rPr>
        <w:t xml:space="preserve"> et février 2014</w:t>
      </w:r>
      <w:r w:rsidRPr="00E03756">
        <w:rPr>
          <w:rFonts w:eastAsia="Times New Roman"/>
          <w:b/>
          <w:color w:val="000000" w:themeColor="text1"/>
        </w:rPr>
        <w:t xml:space="preserve"> </w:t>
      </w:r>
      <w:r w:rsidR="69BAAD4E" w:rsidRPr="00E03756">
        <w:rPr>
          <w:rFonts w:eastAsia="Times New Roman"/>
          <w:b/>
          <w:color w:val="000000" w:themeColor="text1"/>
        </w:rPr>
        <w:t>et la défense de contrainte</w:t>
      </w:r>
    </w:p>
    <w:p w14:paraId="2F25D8AE" w14:textId="665E6E82" w:rsidR="0097275C" w:rsidRDefault="59727DAF" w:rsidP="0097275C">
      <w:pPr>
        <w:pStyle w:val="ListParagraph"/>
        <w:numPr>
          <w:ilvl w:val="0"/>
          <w:numId w:val="7"/>
        </w:numPr>
        <w:spacing w:after="240" w:line="480" w:lineRule="auto"/>
        <w:ind w:left="0" w:firstLine="357"/>
        <w:jc w:val="both"/>
        <w:rPr>
          <w:rFonts w:eastAsia="Times New Roman"/>
          <w:color w:val="000000" w:themeColor="text1"/>
        </w:rPr>
      </w:pPr>
      <w:r w:rsidRPr="6B4484AB">
        <w:rPr>
          <w:rFonts w:eastAsia="Times New Roman"/>
          <w:color w:val="000000" w:themeColor="text1"/>
        </w:rPr>
        <w:t>En décembre 2013, M.</w:t>
      </w:r>
      <w:r w:rsidR="00F10972">
        <w:rPr>
          <w:rFonts w:eastAsia="Times New Roman"/>
          <w:color w:val="000000" w:themeColor="text1"/>
        </w:rPr>
        <w:t> </w:t>
      </w:r>
      <w:r w:rsidRPr="6B4484AB">
        <w:rPr>
          <w:rFonts w:eastAsia="Times New Roman"/>
          <w:color w:val="000000" w:themeColor="text1"/>
        </w:rPr>
        <w:t>Chowdhury est devenu un membre officiel du PNB suite aux menaces de la part d’un membre haut</w:t>
      </w:r>
      <w:r w:rsidR="00F10972">
        <w:rPr>
          <w:rFonts w:eastAsia="Times New Roman"/>
          <w:color w:val="000000" w:themeColor="text1"/>
        </w:rPr>
        <w:t xml:space="preserve"> </w:t>
      </w:r>
      <w:r w:rsidRPr="6B4484AB">
        <w:rPr>
          <w:rFonts w:eastAsia="Times New Roman"/>
          <w:color w:val="000000" w:themeColor="text1"/>
        </w:rPr>
        <w:t>placé du PNB</w:t>
      </w:r>
      <w:r w:rsidR="66E134E4" w:rsidRPr="6B4484AB">
        <w:rPr>
          <w:rFonts w:eastAsia="Times New Roman"/>
          <w:color w:val="000000" w:themeColor="text1"/>
        </w:rPr>
        <w:t xml:space="preserve"> de dévoiler son orientation sexuelle à sa famille</w:t>
      </w:r>
      <w:r w:rsidRPr="6B4484AB">
        <w:rPr>
          <w:rFonts w:eastAsia="Times New Roman"/>
          <w:color w:val="000000" w:themeColor="text1"/>
        </w:rPr>
        <w:t>.</w:t>
      </w:r>
      <w:r w:rsidR="543584A4" w:rsidRPr="6B4484AB">
        <w:rPr>
          <w:rFonts w:eastAsia="Times New Roman"/>
          <w:color w:val="000000" w:themeColor="text1"/>
        </w:rPr>
        <w:t xml:space="preserve"> </w:t>
      </w:r>
      <w:r w:rsidR="35E80939" w:rsidRPr="6C7F6067">
        <w:rPr>
          <w:rFonts w:eastAsia="Times New Roman"/>
          <w:color w:val="000000" w:themeColor="text1"/>
        </w:rPr>
        <w:t>M.</w:t>
      </w:r>
      <w:r w:rsidR="00F10972">
        <w:rPr>
          <w:rFonts w:eastAsia="Times New Roman"/>
          <w:color w:val="000000" w:themeColor="text1"/>
        </w:rPr>
        <w:t> </w:t>
      </w:r>
      <w:r w:rsidR="35E80939" w:rsidRPr="6C7F6067">
        <w:rPr>
          <w:rFonts w:eastAsia="Times New Roman"/>
          <w:color w:val="000000" w:themeColor="text1"/>
        </w:rPr>
        <w:t xml:space="preserve">Chowdhury participe à des réunions officielles du PNB. </w:t>
      </w:r>
      <w:r w:rsidR="7CD24A08" w:rsidRPr="6C7F6067">
        <w:rPr>
          <w:rFonts w:eastAsia="Times New Roman"/>
          <w:color w:val="000000" w:themeColor="text1"/>
        </w:rPr>
        <w:t>Il précise cependant qu’il n’a pas «</w:t>
      </w:r>
      <w:r w:rsidR="00F10972">
        <w:t> </w:t>
      </w:r>
      <w:r w:rsidR="7CD24A08" w:rsidRPr="6C7F6067">
        <w:t>participé ni à la préparation du PNB pour l’élection ni aux activités du jour de l’élection</w:t>
      </w:r>
      <w:r w:rsidRPr="6C7F6067">
        <w:rPr>
          <w:rStyle w:val="FootnoteReference"/>
        </w:rPr>
        <w:footnoteReference w:id="88"/>
      </w:r>
      <w:r w:rsidR="00F10972">
        <w:t> </w:t>
      </w:r>
      <w:r w:rsidR="7CD24A08" w:rsidRPr="6C7F6067">
        <w:t xml:space="preserve">». </w:t>
      </w:r>
      <w:r w:rsidR="7BE67F9A" w:rsidRPr="6C7F6067">
        <w:t>Il n’y a aucune preuve qu</w:t>
      </w:r>
      <w:r w:rsidR="7021B716" w:rsidRPr="6C7F6067">
        <w:t>i montre que M.</w:t>
      </w:r>
      <w:r w:rsidR="00F10972">
        <w:t> </w:t>
      </w:r>
      <w:r w:rsidR="7021B716" w:rsidRPr="6C7F6067">
        <w:t>Chowdhury était</w:t>
      </w:r>
      <w:r w:rsidR="7BE67F9A" w:rsidRPr="6C7F6067">
        <w:t xml:space="preserve"> directement impliqué dans les </w:t>
      </w:r>
      <w:r w:rsidR="7BE67F9A" w:rsidRPr="43E3026D">
        <w:rPr>
          <w:i/>
          <w:iCs/>
        </w:rPr>
        <w:t>hartals</w:t>
      </w:r>
      <w:r w:rsidR="00F10972">
        <w:rPr>
          <w:i/>
          <w:iCs/>
        </w:rPr>
        <w:t>,</w:t>
      </w:r>
      <w:r w:rsidR="783D4F31" w:rsidRPr="43E3026D">
        <w:rPr>
          <w:i/>
          <w:iCs/>
        </w:rPr>
        <w:t xml:space="preserve"> </w:t>
      </w:r>
      <w:r w:rsidR="783D4F31" w:rsidRPr="6C7F6067">
        <w:t>et ce, même si le PNB a eu recours au</w:t>
      </w:r>
      <w:r w:rsidR="003E5F39">
        <w:t>x</w:t>
      </w:r>
      <w:r w:rsidR="783D4F31" w:rsidRPr="6C7F6067">
        <w:t xml:space="preserve"> </w:t>
      </w:r>
      <w:r w:rsidR="783D4F31" w:rsidRPr="43E3026D">
        <w:rPr>
          <w:i/>
          <w:iCs/>
        </w:rPr>
        <w:t>hartals</w:t>
      </w:r>
      <w:r w:rsidR="783D4F31" w:rsidRPr="6C7F6067">
        <w:t xml:space="preserve">. </w:t>
      </w:r>
      <w:r w:rsidR="72F6A56B" w:rsidRPr="6B4484AB">
        <w:rPr>
          <w:rFonts w:eastAsia="Times New Roman"/>
          <w:color w:val="000000" w:themeColor="text1"/>
        </w:rPr>
        <w:t>Selon les critères énoncés dans la section</w:t>
      </w:r>
      <w:r w:rsidR="00F10972">
        <w:rPr>
          <w:rFonts w:eastAsia="Times New Roman"/>
          <w:color w:val="000000" w:themeColor="text1"/>
        </w:rPr>
        <w:t> </w:t>
      </w:r>
      <w:r w:rsidR="72F6A56B" w:rsidRPr="6B4484AB">
        <w:rPr>
          <w:rFonts w:eastAsia="Times New Roman"/>
          <w:color w:val="000000" w:themeColor="text1"/>
        </w:rPr>
        <w:t>3.1, il est difficile de conclure que M.</w:t>
      </w:r>
      <w:r w:rsidR="00F10972">
        <w:rPr>
          <w:rFonts w:eastAsia="Times New Roman"/>
          <w:color w:val="000000" w:themeColor="text1"/>
        </w:rPr>
        <w:t> </w:t>
      </w:r>
      <w:r w:rsidR="72F6A56B" w:rsidRPr="6B4484AB">
        <w:rPr>
          <w:rFonts w:eastAsia="Times New Roman"/>
          <w:color w:val="000000" w:themeColor="text1"/>
        </w:rPr>
        <w:t xml:space="preserve">Chowdhury avait une participation </w:t>
      </w:r>
      <w:r w:rsidR="72F6A56B" w:rsidRPr="6B4484AB">
        <w:rPr>
          <w:rFonts w:eastAsia="Times New Roman"/>
          <w:color w:val="000000" w:themeColor="text1"/>
          <w:u w:val="single"/>
        </w:rPr>
        <w:t>volontaire</w:t>
      </w:r>
      <w:r w:rsidR="72F6A56B" w:rsidRPr="6B4484AB">
        <w:rPr>
          <w:rFonts w:eastAsia="Times New Roman"/>
          <w:color w:val="000000" w:themeColor="text1"/>
        </w:rPr>
        <w:t xml:space="preserve"> au sein du PNB</w:t>
      </w:r>
      <w:r w:rsidR="55C6C27C" w:rsidRPr="6B4484AB">
        <w:rPr>
          <w:rFonts w:eastAsia="Times New Roman"/>
          <w:color w:val="000000" w:themeColor="text1"/>
        </w:rPr>
        <w:t xml:space="preserve"> puisqu’il s’est joint au PNB suite à des menaces</w:t>
      </w:r>
      <w:r w:rsidR="047B4939" w:rsidRPr="6B4484AB">
        <w:rPr>
          <w:rFonts w:eastAsia="Times New Roman"/>
          <w:color w:val="000000" w:themeColor="text1"/>
        </w:rPr>
        <w:t>.</w:t>
      </w:r>
      <w:r w:rsidR="58AEEE3F" w:rsidRPr="6B4484AB">
        <w:rPr>
          <w:rFonts w:eastAsia="Times New Roman"/>
          <w:color w:val="000000" w:themeColor="text1"/>
        </w:rPr>
        <w:t xml:space="preserve"> </w:t>
      </w:r>
    </w:p>
    <w:p w14:paraId="31165736" w14:textId="3AD7FF55" w:rsidR="315998BE" w:rsidRPr="00D91BA6" w:rsidRDefault="00472919" w:rsidP="00D91BA6">
      <w:pPr>
        <w:pStyle w:val="ListParagraph"/>
        <w:numPr>
          <w:ilvl w:val="0"/>
          <w:numId w:val="7"/>
        </w:numPr>
        <w:spacing w:line="480" w:lineRule="auto"/>
        <w:ind w:left="0" w:firstLine="357"/>
        <w:jc w:val="both"/>
        <w:rPr>
          <w:rFonts w:eastAsia="Times New Roman"/>
          <w:color w:val="000000" w:themeColor="text1"/>
        </w:rPr>
      </w:pPr>
      <w:r>
        <w:rPr>
          <w:rFonts w:eastAsia="Times New Roman"/>
          <w:color w:val="000000" w:themeColor="text1"/>
        </w:rPr>
        <w:t>Au surplus, même si M.</w:t>
      </w:r>
      <w:r w:rsidR="00F10972">
        <w:rPr>
          <w:rFonts w:eastAsia="Times New Roman"/>
          <w:color w:val="000000" w:themeColor="text1"/>
        </w:rPr>
        <w:t> </w:t>
      </w:r>
      <w:r>
        <w:rPr>
          <w:rFonts w:eastAsia="Times New Roman"/>
          <w:color w:val="000000" w:themeColor="text1"/>
        </w:rPr>
        <w:t>Chowdhury avait été volontairement membre officiel du PNB</w:t>
      </w:r>
      <w:r w:rsidR="004C0337">
        <w:rPr>
          <w:rFonts w:eastAsia="Times New Roman"/>
          <w:color w:val="000000" w:themeColor="text1"/>
        </w:rPr>
        <w:t xml:space="preserve">, </w:t>
      </w:r>
      <w:r w:rsidR="00DF354B">
        <w:rPr>
          <w:rFonts w:eastAsia="Times New Roman"/>
          <w:color w:val="000000" w:themeColor="text1"/>
        </w:rPr>
        <w:t xml:space="preserve">l’agent Ali avait tout de même le double fardeau de montrer qu’il était volontairement membre </w:t>
      </w:r>
      <w:r w:rsidR="00BA3FCD">
        <w:rPr>
          <w:rFonts w:eastAsia="Times New Roman"/>
          <w:color w:val="000000" w:themeColor="text1"/>
        </w:rPr>
        <w:t xml:space="preserve">d’une organisation dont il y a des motifs raisonnables de croire qu’elle est, a été, ou sera l’autrice </w:t>
      </w:r>
      <w:r w:rsidR="00626411">
        <w:rPr>
          <w:rFonts w:eastAsia="Times New Roman"/>
          <w:color w:val="000000" w:themeColor="text1"/>
        </w:rPr>
        <w:t>d’actes visant au renversement d’un gouvernement par la force, tel que le prescrit l’interprétation inté</w:t>
      </w:r>
      <w:r w:rsidR="00184AA4">
        <w:rPr>
          <w:rFonts w:eastAsia="Times New Roman"/>
          <w:color w:val="000000" w:themeColor="text1"/>
        </w:rPr>
        <w:t>grée de l’alinéa</w:t>
      </w:r>
      <w:r w:rsidR="00F10972">
        <w:rPr>
          <w:rFonts w:eastAsia="Times New Roman"/>
          <w:color w:val="000000" w:themeColor="text1"/>
        </w:rPr>
        <w:t> </w:t>
      </w:r>
      <w:r w:rsidR="00184AA4">
        <w:rPr>
          <w:rFonts w:eastAsia="Times New Roman"/>
          <w:color w:val="000000" w:themeColor="text1"/>
        </w:rPr>
        <w:t>34</w:t>
      </w:r>
      <w:r w:rsidR="00F10972">
        <w:rPr>
          <w:rFonts w:eastAsia="Times New Roman"/>
          <w:color w:val="000000" w:themeColor="text1"/>
        </w:rPr>
        <w:t xml:space="preserve"> </w:t>
      </w:r>
      <w:r w:rsidR="00184AA4">
        <w:rPr>
          <w:rFonts w:eastAsia="Times New Roman"/>
          <w:color w:val="000000" w:themeColor="text1"/>
        </w:rPr>
        <w:t xml:space="preserve">(1) f) de la LIPR. </w:t>
      </w:r>
      <w:r w:rsidR="00F10972">
        <w:rPr>
          <w:rFonts w:eastAsia="Times New Roman"/>
          <w:color w:val="000000" w:themeColor="text1"/>
        </w:rPr>
        <w:t xml:space="preserve">Comme </w:t>
      </w:r>
      <w:r w:rsidR="6745706C" w:rsidRPr="00D91BA6">
        <w:rPr>
          <w:rFonts w:eastAsia="Times New Roman"/>
          <w:color w:val="000000" w:themeColor="text1"/>
        </w:rPr>
        <w:t xml:space="preserve">établi précédemment, </w:t>
      </w:r>
      <w:r w:rsidR="00D91BA6">
        <w:rPr>
          <w:rFonts w:eastAsia="Times New Roman"/>
          <w:color w:val="000000" w:themeColor="text1"/>
        </w:rPr>
        <w:t>ce n’est pas le cas du PNB</w:t>
      </w:r>
      <w:r w:rsidR="0CA8EAAF" w:rsidRPr="00D91BA6">
        <w:rPr>
          <w:rFonts w:eastAsia="Times New Roman"/>
          <w:color w:val="000000" w:themeColor="text1"/>
        </w:rPr>
        <w:t xml:space="preserve">, car les </w:t>
      </w:r>
      <w:r w:rsidR="0CA8EAAF" w:rsidRPr="00D91BA6">
        <w:rPr>
          <w:rFonts w:eastAsia="Times New Roman"/>
          <w:i/>
          <w:iCs/>
          <w:color w:val="000000" w:themeColor="text1"/>
        </w:rPr>
        <w:t>hartals</w:t>
      </w:r>
      <w:r w:rsidR="0CA8EAAF" w:rsidRPr="00D91BA6">
        <w:rPr>
          <w:rFonts w:eastAsia="Times New Roman"/>
          <w:color w:val="000000" w:themeColor="text1"/>
        </w:rPr>
        <w:t xml:space="preserve"> </w:t>
      </w:r>
      <w:r w:rsidR="5796CA86" w:rsidRPr="00D91BA6">
        <w:rPr>
          <w:rFonts w:eastAsia="Times New Roman"/>
          <w:color w:val="000000" w:themeColor="text1"/>
        </w:rPr>
        <w:t xml:space="preserve">et les grèves </w:t>
      </w:r>
      <w:r w:rsidR="0CA8EAAF" w:rsidRPr="00D91BA6">
        <w:rPr>
          <w:rFonts w:eastAsia="Times New Roman"/>
          <w:color w:val="000000" w:themeColor="text1"/>
        </w:rPr>
        <w:t xml:space="preserve">sont </w:t>
      </w:r>
      <w:r w:rsidR="038C1EAE" w:rsidRPr="00D91BA6">
        <w:rPr>
          <w:rFonts w:eastAsia="Times New Roman"/>
          <w:color w:val="000000" w:themeColor="text1"/>
        </w:rPr>
        <w:t>une</w:t>
      </w:r>
      <w:r w:rsidR="0CA8EAAF" w:rsidRPr="00D91BA6">
        <w:rPr>
          <w:rFonts w:eastAsia="Times New Roman"/>
          <w:color w:val="000000" w:themeColor="text1"/>
        </w:rPr>
        <w:t xml:space="preserve"> expression </w:t>
      </w:r>
      <w:r w:rsidR="6EF1F263" w:rsidRPr="00D91BA6">
        <w:rPr>
          <w:rFonts w:eastAsia="Times New Roman"/>
          <w:color w:val="000000" w:themeColor="text1"/>
        </w:rPr>
        <w:t xml:space="preserve">politique </w:t>
      </w:r>
      <w:r w:rsidR="0CA8EAAF" w:rsidRPr="00D91BA6">
        <w:rPr>
          <w:rFonts w:eastAsia="Times New Roman"/>
          <w:color w:val="000000" w:themeColor="text1"/>
        </w:rPr>
        <w:t>légitime</w:t>
      </w:r>
      <w:r w:rsidR="163BAFB8" w:rsidRPr="00D91BA6">
        <w:rPr>
          <w:rFonts w:eastAsia="Times New Roman"/>
          <w:color w:val="000000" w:themeColor="text1"/>
        </w:rPr>
        <w:t xml:space="preserve"> qui </w:t>
      </w:r>
      <w:r w:rsidR="00F10972">
        <w:rPr>
          <w:rFonts w:eastAsia="Times New Roman"/>
          <w:color w:val="000000" w:themeColor="text1"/>
        </w:rPr>
        <w:t>a</w:t>
      </w:r>
      <w:r w:rsidR="163BAFB8" w:rsidRPr="00D91BA6">
        <w:rPr>
          <w:rFonts w:eastAsia="Times New Roman"/>
          <w:color w:val="000000" w:themeColor="text1"/>
        </w:rPr>
        <w:t xml:space="preserve"> malheureusement dégénéré. </w:t>
      </w:r>
      <w:r w:rsidR="48AA039A" w:rsidRPr="00D91BA6">
        <w:rPr>
          <w:rFonts w:eastAsia="Times New Roman"/>
          <w:color w:val="000000" w:themeColor="text1"/>
        </w:rPr>
        <w:t>De ce fait, le PNB ne peut pas être visé par les alinéas 34</w:t>
      </w:r>
      <w:r w:rsidR="00F10972">
        <w:rPr>
          <w:rFonts w:eastAsia="Times New Roman"/>
          <w:color w:val="000000" w:themeColor="text1"/>
        </w:rPr>
        <w:t xml:space="preserve"> </w:t>
      </w:r>
      <w:r w:rsidR="48AA039A" w:rsidRPr="00D91BA6">
        <w:rPr>
          <w:rFonts w:eastAsia="Times New Roman"/>
          <w:color w:val="000000" w:themeColor="text1"/>
        </w:rPr>
        <w:t>(1)</w:t>
      </w:r>
      <w:r w:rsidR="00F10972">
        <w:rPr>
          <w:rFonts w:eastAsia="Times New Roman"/>
          <w:color w:val="000000" w:themeColor="text1"/>
        </w:rPr>
        <w:t xml:space="preserve"> </w:t>
      </w:r>
      <w:r w:rsidR="48AA039A" w:rsidRPr="00D91BA6">
        <w:rPr>
          <w:rFonts w:eastAsia="Times New Roman"/>
          <w:color w:val="000000" w:themeColor="text1"/>
        </w:rPr>
        <w:t>b) et 34</w:t>
      </w:r>
      <w:r w:rsidR="00F10972">
        <w:rPr>
          <w:rFonts w:eastAsia="Times New Roman"/>
          <w:color w:val="000000" w:themeColor="text1"/>
        </w:rPr>
        <w:t xml:space="preserve"> </w:t>
      </w:r>
      <w:r w:rsidR="48AA039A" w:rsidRPr="00D91BA6">
        <w:rPr>
          <w:rFonts w:eastAsia="Times New Roman"/>
          <w:color w:val="000000" w:themeColor="text1"/>
        </w:rPr>
        <w:t>(1)</w:t>
      </w:r>
      <w:r w:rsidR="00F10972">
        <w:rPr>
          <w:rFonts w:eastAsia="Times New Roman"/>
          <w:color w:val="000000" w:themeColor="text1"/>
        </w:rPr>
        <w:t xml:space="preserve"> </w:t>
      </w:r>
      <w:r w:rsidR="48AA039A" w:rsidRPr="00D91BA6">
        <w:rPr>
          <w:rFonts w:eastAsia="Times New Roman"/>
          <w:color w:val="000000" w:themeColor="text1"/>
        </w:rPr>
        <w:t xml:space="preserve">f) de la LIPR. </w:t>
      </w:r>
      <w:r w:rsidR="44C294A5" w:rsidRPr="00D91BA6">
        <w:rPr>
          <w:rFonts w:eastAsia="Times New Roman"/>
          <w:color w:val="000000" w:themeColor="text1"/>
        </w:rPr>
        <w:t>Dans tous les cas, même si le PNB était visé par ces alinéas, l’agent Ali avait quand même le fardeau de prouver que M.</w:t>
      </w:r>
      <w:r w:rsidR="00F10972">
        <w:rPr>
          <w:rFonts w:eastAsia="Times New Roman"/>
          <w:color w:val="000000" w:themeColor="text1"/>
        </w:rPr>
        <w:t> </w:t>
      </w:r>
      <w:r w:rsidR="44C294A5" w:rsidRPr="00D91BA6">
        <w:rPr>
          <w:rFonts w:eastAsia="Times New Roman"/>
          <w:color w:val="000000" w:themeColor="text1"/>
        </w:rPr>
        <w:t xml:space="preserve">Chowdhury aurait </w:t>
      </w:r>
      <w:r w:rsidR="44C294A5" w:rsidRPr="00D91BA6">
        <w:rPr>
          <w:rFonts w:eastAsia="Times New Roman"/>
          <w:color w:val="000000" w:themeColor="text1"/>
          <w:u w:val="single"/>
        </w:rPr>
        <w:t>volontairement</w:t>
      </w:r>
      <w:r w:rsidR="44C294A5" w:rsidRPr="00D91BA6">
        <w:rPr>
          <w:rFonts w:eastAsia="Times New Roman"/>
          <w:color w:val="000000" w:themeColor="text1"/>
        </w:rPr>
        <w:t xml:space="preserve"> </w:t>
      </w:r>
      <w:r w:rsidR="00AA75C1">
        <w:rPr>
          <w:rFonts w:eastAsia="Times New Roman"/>
          <w:color w:val="000000" w:themeColor="text1"/>
        </w:rPr>
        <w:t>été membre d’une telle organisation, c</w:t>
      </w:r>
      <w:r w:rsidR="4546C6C7" w:rsidRPr="00D91BA6">
        <w:rPr>
          <w:rFonts w:eastAsia="Times New Roman"/>
          <w:color w:val="000000" w:themeColor="text1"/>
        </w:rPr>
        <w:t xml:space="preserve">e </w:t>
      </w:r>
      <w:r w:rsidR="00AA75C1">
        <w:rPr>
          <w:rFonts w:eastAsia="Times New Roman"/>
          <w:color w:val="000000" w:themeColor="text1"/>
        </w:rPr>
        <w:t xml:space="preserve">qui </w:t>
      </w:r>
      <w:r w:rsidR="4546C6C7" w:rsidRPr="00D91BA6">
        <w:rPr>
          <w:rFonts w:eastAsia="Times New Roman"/>
          <w:color w:val="000000" w:themeColor="text1"/>
        </w:rPr>
        <w:t xml:space="preserve">serait très difficile à </w:t>
      </w:r>
      <w:r w:rsidR="3BA5C8A4" w:rsidRPr="00D91BA6">
        <w:rPr>
          <w:rFonts w:eastAsia="Times New Roman"/>
          <w:color w:val="000000" w:themeColor="text1"/>
        </w:rPr>
        <w:t xml:space="preserve">prouver </w:t>
      </w:r>
      <w:r w:rsidR="00F10972">
        <w:rPr>
          <w:rFonts w:eastAsia="Times New Roman"/>
          <w:color w:val="000000" w:themeColor="text1"/>
        </w:rPr>
        <w:t>étant donné</w:t>
      </w:r>
      <w:r w:rsidR="3BA5C8A4" w:rsidRPr="00D91BA6">
        <w:rPr>
          <w:rFonts w:eastAsia="Times New Roman"/>
          <w:color w:val="000000" w:themeColor="text1"/>
        </w:rPr>
        <w:t xml:space="preserve"> que M.</w:t>
      </w:r>
      <w:r w:rsidR="00F10972">
        <w:rPr>
          <w:rFonts w:eastAsia="Times New Roman"/>
          <w:color w:val="000000" w:themeColor="text1"/>
        </w:rPr>
        <w:t> </w:t>
      </w:r>
      <w:r w:rsidR="3BA5C8A4" w:rsidRPr="00D91BA6">
        <w:rPr>
          <w:rFonts w:eastAsia="Times New Roman"/>
          <w:color w:val="000000" w:themeColor="text1"/>
        </w:rPr>
        <w:t xml:space="preserve">Chowdhury n’a jamais participé </w:t>
      </w:r>
      <w:r w:rsidR="38EF9307" w:rsidRPr="00D91BA6">
        <w:rPr>
          <w:rFonts w:eastAsia="Times New Roman"/>
          <w:color w:val="000000" w:themeColor="text1"/>
        </w:rPr>
        <w:t>ni</w:t>
      </w:r>
      <w:r w:rsidR="3BA5C8A4" w:rsidRPr="00D91BA6">
        <w:rPr>
          <w:rFonts w:eastAsia="Times New Roman"/>
          <w:color w:val="000000" w:themeColor="text1"/>
        </w:rPr>
        <w:t xml:space="preserve"> organisé </w:t>
      </w:r>
      <w:r w:rsidR="3F56296B" w:rsidRPr="00D91BA6">
        <w:rPr>
          <w:rFonts w:eastAsia="Times New Roman"/>
          <w:color w:val="000000" w:themeColor="text1"/>
        </w:rPr>
        <w:t xml:space="preserve">ni </w:t>
      </w:r>
      <w:r w:rsidR="3BA5C8A4" w:rsidRPr="00D91BA6">
        <w:rPr>
          <w:rFonts w:eastAsia="Times New Roman"/>
          <w:color w:val="000000" w:themeColor="text1"/>
        </w:rPr>
        <w:t>même incité les gen</w:t>
      </w:r>
      <w:r w:rsidR="777071B8" w:rsidRPr="00D91BA6">
        <w:rPr>
          <w:rFonts w:eastAsia="Times New Roman"/>
          <w:color w:val="000000" w:themeColor="text1"/>
        </w:rPr>
        <w:t>s</w:t>
      </w:r>
      <w:r w:rsidR="3BA5C8A4" w:rsidRPr="00D91BA6">
        <w:rPr>
          <w:rFonts w:eastAsia="Times New Roman"/>
          <w:color w:val="000000" w:themeColor="text1"/>
        </w:rPr>
        <w:t xml:space="preserve"> à participer aux </w:t>
      </w:r>
      <w:r w:rsidR="3BA5C8A4" w:rsidRPr="00D91BA6">
        <w:rPr>
          <w:rFonts w:eastAsia="Times New Roman"/>
          <w:i/>
          <w:iCs/>
          <w:color w:val="000000" w:themeColor="text1"/>
        </w:rPr>
        <w:t>hartals</w:t>
      </w:r>
      <w:r w:rsidR="3BA5C8A4" w:rsidRPr="00D91BA6">
        <w:rPr>
          <w:rFonts w:eastAsia="Times New Roman"/>
          <w:color w:val="000000" w:themeColor="text1"/>
        </w:rPr>
        <w:t xml:space="preserve">. </w:t>
      </w:r>
    </w:p>
    <w:p w14:paraId="3F1F4322" w14:textId="0F9B0008" w:rsidR="5112BFA9" w:rsidRPr="00AC268B" w:rsidRDefault="5112BFA9" w:rsidP="6C7F6067">
      <w:pPr>
        <w:pStyle w:val="ListParagraph"/>
        <w:numPr>
          <w:ilvl w:val="2"/>
          <w:numId w:val="8"/>
        </w:numPr>
        <w:spacing w:after="240" w:line="240" w:lineRule="auto"/>
        <w:jc w:val="both"/>
        <w:rPr>
          <w:rFonts w:eastAsia="Times New Roman"/>
          <w:b/>
          <w:bCs/>
          <w:color w:val="000000" w:themeColor="text1"/>
        </w:rPr>
      </w:pPr>
      <w:r w:rsidRPr="00AC268B">
        <w:rPr>
          <w:rFonts w:eastAsia="Times New Roman"/>
          <w:b/>
          <w:bCs/>
          <w:color w:val="000000" w:themeColor="text1"/>
        </w:rPr>
        <w:t>Le demandeur remplit les critères de la défense de contrainte</w:t>
      </w:r>
    </w:p>
    <w:p w14:paraId="2BC3A89C" w14:textId="3D4D379C" w:rsidR="00E15E80" w:rsidRPr="0097275C" w:rsidRDefault="36D71128" w:rsidP="0097275C">
      <w:pPr>
        <w:pStyle w:val="ListParagraph"/>
        <w:numPr>
          <w:ilvl w:val="0"/>
          <w:numId w:val="7"/>
        </w:numPr>
        <w:spacing w:after="240" w:line="480" w:lineRule="auto"/>
        <w:ind w:left="0" w:firstLine="357"/>
        <w:jc w:val="both"/>
        <w:rPr>
          <w:color w:val="000000" w:themeColor="text1"/>
        </w:rPr>
      </w:pPr>
      <w:r w:rsidRPr="0097275C">
        <w:rPr>
          <w:rFonts w:eastAsia="Times New Roman"/>
          <w:color w:val="000000" w:themeColor="text1"/>
        </w:rPr>
        <w:t xml:space="preserve">Effectivement, </w:t>
      </w:r>
      <w:r w:rsidR="18169A85" w:rsidRPr="0097275C">
        <w:rPr>
          <w:rFonts w:eastAsia="Times New Roman"/>
          <w:color w:val="000000" w:themeColor="text1"/>
        </w:rPr>
        <w:t>M.</w:t>
      </w:r>
      <w:r w:rsidR="00E21D8B">
        <w:rPr>
          <w:rFonts w:eastAsia="Times New Roman"/>
          <w:color w:val="000000" w:themeColor="text1"/>
        </w:rPr>
        <w:t> </w:t>
      </w:r>
      <w:r w:rsidR="18169A85" w:rsidRPr="0097275C">
        <w:rPr>
          <w:rFonts w:eastAsia="Times New Roman"/>
          <w:color w:val="000000" w:themeColor="text1"/>
        </w:rPr>
        <w:t xml:space="preserve">Chowdhury a de bonnes raisons de croire qu’il </w:t>
      </w:r>
      <w:r w:rsidR="18169A85" w:rsidRPr="3E2D5028">
        <w:rPr>
          <w:rFonts w:eastAsia="Times New Roman"/>
          <w:color w:val="000000" w:themeColor="text1"/>
        </w:rPr>
        <w:t>sera</w:t>
      </w:r>
      <w:r w:rsidR="18169A85" w:rsidRPr="0097275C">
        <w:rPr>
          <w:rFonts w:eastAsia="Times New Roman"/>
          <w:color w:val="000000" w:themeColor="text1"/>
        </w:rPr>
        <w:t xml:space="preserve"> persécuté dans un pays présentant des sentiments homophobes. Ici, la défense de contrainte est pertinente pour excuser la participation de M.</w:t>
      </w:r>
      <w:r w:rsidR="00E21D8B">
        <w:rPr>
          <w:rFonts w:eastAsia="Times New Roman"/>
          <w:color w:val="000000" w:themeColor="text1"/>
        </w:rPr>
        <w:t> </w:t>
      </w:r>
      <w:r w:rsidR="18169A85" w:rsidRPr="0097275C">
        <w:rPr>
          <w:rFonts w:eastAsia="Times New Roman"/>
          <w:color w:val="000000" w:themeColor="text1"/>
        </w:rPr>
        <w:t>Chowdhury au sein du PNB.</w:t>
      </w:r>
      <w:r w:rsidR="05A5764D" w:rsidRPr="0097275C">
        <w:rPr>
          <w:rFonts w:eastAsia="Times New Roman"/>
          <w:color w:val="000000" w:themeColor="text1"/>
        </w:rPr>
        <w:t xml:space="preserve"> </w:t>
      </w:r>
    </w:p>
    <w:p w14:paraId="1B284CD6" w14:textId="73E97EEA" w:rsidR="00E15E80" w:rsidRPr="00A627C4" w:rsidRDefault="0EB9052D" w:rsidP="6B4484AB">
      <w:pPr>
        <w:pStyle w:val="ListParagraph"/>
        <w:numPr>
          <w:ilvl w:val="0"/>
          <w:numId w:val="7"/>
        </w:numPr>
        <w:spacing w:after="240" w:line="480" w:lineRule="auto"/>
        <w:ind w:left="0" w:firstLine="357"/>
        <w:jc w:val="both"/>
        <w:rPr>
          <w:color w:val="000000" w:themeColor="text1"/>
        </w:rPr>
      </w:pPr>
      <w:r w:rsidRPr="6B4484AB">
        <w:rPr>
          <w:rFonts w:eastAsia="Times New Roman"/>
          <w:color w:val="000000" w:themeColor="text1"/>
        </w:rPr>
        <w:t xml:space="preserve">Dans l’arrêt </w:t>
      </w:r>
      <w:r w:rsidRPr="1003DBFD">
        <w:rPr>
          <w:rFonts w:eastAsia="Times New Roman"/>
          <w:i/>
          <w:iCs/>
          <w:color w:val="000000" w:themeColor="text1"/>
        </w:rPr>
        <w:t>Ramirez</w:t>
      </w:r>
      <w:r w:rsidR="00102491" w:rsidRPr="6B4484AB">
        <w:rPr>
          <w:rStyle w:val="FootnoteReference"/>
          <w:rFonts w:eastAsia="Times New Roman"/>
          <w:color w:val="000000" w:themeColor="text1"/>
        </w:rPr>
        <w:footnoteReference w:id="89"/>
      </w:r>
      <w:r w:rsidRPr="6B4484AB">
        <w:rPr>
          <w:rFonts w:eastAsia="Times New Roman"/>
          <w:color w:val="000000" w:themeColor="text1"/>
        </w:rPr>
        <w:t>, la défense de contrainte a été utilisée comme moyen de défense pour justifier les crimes de guerre et contre l’humanité en vertu de l’article</w:t>
      </w:r>
      <w:r w:rsidR="00E21D8B">
        <w:rPr>
          <w:rFonts w:eastAsia="Times New Roman"/>
          <w:color w:val="000000" w:themeColor="text1"/>
        </w:rPr>
        <w:t> </w:t>
      </w:r>
      <w:r w:rsidRPr="6B4484AB">
        <w:rPr>
          <w:rFonts w:eastAsia="Times New Roman"/>
          <w:color w:val="000000" w:themeColor="text1"/>
        </w:rPr>
        <w:t>35</w:t>
      </w:r>
      <w:r w:rsidR="00E21D8B">
        <w:rPr>
          <w:rFonts w:eastAsia="Times New Roman"/>
          <w:color w:val="000000" w:themeColor="text1"/>
        </w:rPr>
        <w:t xml:space="preserve"> </w:t>
      </w:r>
      <w:r w:rsidRPr="6B4484AB">
        <w:rPr>
          <w:rFonts w:eastAsia="Times New Roman"/>
          <w:color w:val="000000" w:themeColor="text1"/>
        </w:rPr>
        <w:t>(1)</w:t>
      </w:r>
      <w:r w:rsidR="00E21D8B">
        <w:rPr>
          <w:rFonts w:eastAsia="Times New Roman"/>
          <w:color w:val="000000" w:themeColor="text1"/>
        </w:rPr>
        <w:t xml:space="preserve"> </w:t>
      </w:r>
      <w:r w:rsidRPr="6B4484AB">
        <w:rPr>
          <w:rFonts w:eastAsia="Times New Roman"/>
          <w:color w:val="000000" w:themeColor="text1"/>
        </w:rPr>
        <w:t>a) de la LIPR.</w:t>
      </w:r>
      <w:r w:rsidR="0EF6B26B" w:rsidRPr="6B4484AB">
        <w:rPr>
          <w:rFonts w:eastAsia="Times New Roman"/>
          <w:color w:val="000000" w:themeColor="text1"/>
        </w:rPr>
        <w:t xml:space="preserve"> </w:t>
      </w:r>
      <w:r w:rsidRPr="6B4484AB">
        <w:rPr>
          <w:rFonts w:eastAsia="Times New Roman"/>
          <w:color w:val="000000" w:themeColor="text1"/>
        </w:rPr>
        <w:t xml:space="preserve">Dans l’arrêt </w:t>
      </w:r>
      <w:r w:rsidRPr="1003DBFD">
        <w:rPr>
          <w:rFonts w:eastAsia="Times New Roman"/>
          <w:i/>
          <w:iCs/>
          <w:color w:val="000000" w:themeColor="text1"/>
        </w:rPr>
        <w:t>Poshteh</w:t>
      </w:r>
      <w:r w:rsidR="00102491" w:rsidRPr="6B4484AB">
        <w:rPr>
          <w:rStyle w:val="FootnoteReference"/>
          <w:rFonts w:eastAsia="Times New Roman"/>
          <w:color w:val="000000" w:themeColor="text1"/>
        </w:rPr>
        <w:footnoteReference w:id="90"/>
      </w:r>
      <w:r w:rsidRPr="6B4484AB">
        <w:rPr>
          <w:rFonts w:eastAsia="Times New Roman"/>
          <w:color w:val="000000" w:themeColor="text1"/>
        </w:rPr>
        <w:t>,</w:t>
      </w:r>
      <w:r w:rsidR="2D15E415">
        <w:rPr>
          <w:rFonts w:eastAsia="Times New Roman"/>
          <w:color w:val="000000" w:themeColor="text1"/>
        </w:rPr>
        <w:t xml:space="preserve"> on pose</w:t>
      </w:r>
      <w:r w:rsidRPr="6B4484AB">
        <w:rPr>
          <w:rFonts w:eastAsia="Times New Roman"/>
          <w:color w:val="000000" w:themeColor="text1"/>
        </w:rPr>
        <w:t xml:space="preserve"> </w:t>
      </w:r>
      <w:r w:rsidR="3BF42FE4">
        <w:rPr>
          <w:rFonts w:eastAsia="Times New Roman"/>
          <w:color w:val="000000" w:themeColor="text1"/>
        </w:rPr>
        <w:t>«</w:t>
      </w:r>
      <w:r w:rsidR="00E21D8B">
        <w:rPr>
          <w:rFonts w:eastAsia="Times New Roman"/>
          <w:color w:val="000000" w:themeColor="text1"/>
        </w:rPr>
        <w:t> </w:t>
      </w:r>
      <w:r w:rsidRPr="6B4484AB">
        <w:rPr>
          <w:rFonts w:eastAsia="Times New Roman"/>
          <w:color w:val="000000" w:themeColor="text1"/>
        </w:rPr>
        <w:t>que la contrainte ou la coercition peut s</w:t>
      </w:r>
      <w:r w:rsidR="00E21D8B">
        <w:rPr>
          <w:rFonts w:eastAsia="Times New Roman"/>
          <w:color w:val="000000" w:themeColor="text1"/>
        </w:rPr>
        <w:t>’</w:t>
      </w:r>
      <w:r w:rsidRPr="6B4484AB">
        <w:rPr>
          <w:rFonts w:eastAsia="Times New Roman"/>
          <w:color w:val="000000" w:themeColor="text1"/>
        </w:rPr>
        <w:t>appliquer dans le cas de la question examinée suivant l</w:t>
      </w:r>
      <w:r w:rsidR="00E21D8B">
        <w:rPr>
          <w:rFonts w:eastAsia="Times New Roman"/>
          <w:color w:val="000000" w:themeColor="text1"/>
        </w:rPr>
        <w:t>’</w:t>
      </w:r>
      <w:r w:rsidRPr="6B4484AB">
        <w:rPr>
          <w:rFonts w:eastAsia="Times New Roman"/>
          <w:color w:val="000000" w:themeColor="text1"/>
        </w:rPr>
        <w:t>alinéa 34</w:t>
      </w:r>
      <w:r w:rsidR="00E21D8B">
        <w:rPr>
          <w:rFonts w:eastAsia="Times New Roman"/>
          <w:color w:val="000000" w:themeColor="text1"/>
        </w:rPr>
        <w:t xml:space="preserve"> </w:t>
      </w:r>
      <w:r w:rsidRPr="6B4484AB">
        <w:rPr>
          <w:rFonts w:eastAsia="Times New Roman"/>
          <w:color w:val="000000" w:themeColor="text1"/>
        </w:rPr>
        <w:t>(1)</w:t>
      </w:r>
      <w:r w:rsidR="00E21D8B">
        <w:rPr>
          <w:rFonts w:eastAsia="Times New Roman"/>
          <w:color w:val="000000" w:themeColor="text1"/>
        </w:rPr>
        <w:t xml:space="preserve"> </w:t>
      </w:r>
      <w:r w:rsidRPr="6B4484AB">
        <w:rPr>
          <w:rFonts w:eastAsia="Times New Roman"/>
          <w:color w:val="000000" w:themeColor="text1"/>
        </w:rPr>
        <w:t>f)</w:t>
      </w:r>
      <w:r w:rsidR="00E21D8B">
        <w:rPr>
          <w:rFonts w:eastAsia="Times New Roman"/>
          <w:color w:val="000000" w:themeColor="text1"/>
        </w:rPr>
        <w:t> </w:t>
      </w:r>
      <w:r w:rsidR="3BF42FE4">
        <w:rPr>
          <w:rFonts w:eastAsia="Times New Roman"/>
          <w:color w:val="000000" w:themeColor="text1"/>
        </w:rPr>
        <w:t>»</w:t>
      </w:r>
      <w:r w:rsidRPr="6B4484AB">
        <w:rPr>
          <w:rFonts w:eastAsia="Times New Roman"/>
          <w:color w:val="000000" w:themeColor="text1"/>
        </w:rPr>
        <w:t xml:space="preserve"> de la LIPR.</w:t>
      </w:r>
      <w:r w:rsidR="6D765184" w:rsidRPr="6B4484AB">
        <w:rPr>
          <w:rFonts w:eastAsia="Times New Roman"/>
          <w:color w:val="000000" w:themeColor="text1"/>
        </w:rPr>
        <w:t xml:space="preserve"> </w:t>
      </w:r>
      <w:r w:rsidRPr="6B4484AB">
        <w:rPr>
          <w:rFonts w:eastAsia="Times New Roman"/>
          <w:color w:val="000000" w:themeColor="text1"/>
        </w:rPr>
        <w:t xml:space="preserve">Dans l’arrêt </w:t>
      </w:r>
      <w:r w:rsidRPr="1003DBFD">
        <w:rPr>
          <w:rFonts w:eastAsia="Times New Roman"/>
          <w:i/>
          <w:iCs/>
          <w:color w:val="000000" w:themeColor="text1"/>
        </w:rPr>
        <w:t>Thiyagarajah</w:t>
      </w:r>
      <w:r w:rsidR="00102491" w:rsidRPr="6B4484AB">
        <w:rPr>
          <w:rStyle w:val="FootnoteReference"/>
          <w:rFonts w:eastAsia="Times New Roman"/>
          <w:color w:val="000000" w:themeColor="text1"/>
        </w:rPr>
        <w:footnoteReference w:id="91"/>
      </w:r>
      <w:r w:rsidRPr="6B4484AB">
        <w:rPr>
          <w:rFonts w:eastAsia="Times New Roman"/>
          <w:color w:val="000000" w:themeColor="text1"/>
        </w:rPr>
        <w:t xml:space="preserve">, le juge précise que l’application de la défense de contrainte est une question mixte de fait et de droit et </w:t>
      </w:r>
      <w:r w:rsidR="63490D0B">
        <w:rPr>
          <w:rFonts w:eastAsia="Times New Roman"/>
          <w:color w:val="000000" w:themeColor="text1"/>
        </w:rPr>
        <w:t>rappelle</w:t>
      </w:r>
      <w:r w:rsidRPr="6B4484AB">
        <w:rPr>
          <w:rFonts w:eastAsia="Times New Roman"/>
          <w:color w:val="000000" w:themeColor="text1"/>
        </w:rPr>
        <w:t xml:space="preserve"> que la norme de contrôle applicable est </w:t>
      </w:r>
      <w:r w:rsidR="60F54C6E" w:rsidRPr="6B4484AB">
        <w:rPr>
          <w:rFonts w:eastAsia="Times New Roman"/>
          <w:color w:val="000000" w:themeColor="text1"/>
        </w:rPr>
        <w:t xml:space="preserve">celle de </w:t>
      </w:r>
      <w:r w:rsidRPr="6B4484AB">
        <w:rPr>
          <w:rFonts w:eastAsia="Times New Roman"/>
          <w:color w:val="000000" w:themeColor="text1"/>
        </w:rPr>
        <w:t>la décision raisonnable.</w:t>
      </w:r>
    </w:p>
    <w:p w14:paraId="5DE9B34F" w14:textId="759ED63C" w:rsidR="00E15E80" w:rsidRPr="00A627C4" w:rsidRDefault="2780D27B" w:rsidP="6B4484AB">
      <w:pPr>
        <w:pStyle w:val="ListParagraph"/>
        <w:numPr>
          <w:ilvl w:val="0"/>
          <w:numId w:val="7"/>
        </w:numPr>
        <w:spacing w:after="240" w:line="480" w:lineRule="auto"/>
        <w:ind w:left="0" w:firstLine="357"/>
        <w:jc w:val="both"/>
        <w:rPr>
          <w:rFonts w:eastAsia="Times New Roman"/>
          <w:color w:val="000000" w:themeColor="text1"/>
        </w:rPr>
      </w:pPr>
      <w:r w:rsidRPr="6B4484AB">
        <w:rPr>
          <w:rFonts w:eastAsia="Times New Roman"/>
          <w:color w:val="000000" w:themeColor="text1"/>
        </w:rPr>
        <w:t>Dans les faits, M.</w:t>
      </w:r>
      <w:r w:rsidR="00E21D8B">
        <w:rPr>
          <w:rFonts w:eastAsia="Times New Roman"/>
          <w:color w:val="000000" w:themeColor="text1"/>
        </w:rPr>
        <w:t> </w:t>
      </w:r>
      <w:r w:rsidRPr="6B4484AB">
        <w:rPr>
          <w:rFonts w:eastAsia="Times New Roman"/>
          <w:color w:val="000000" w:themeColor="text1"/>
        </w:rPr>
        <w:t>Chowdhury soutient que son adhésion au PNB est d</w:t>
      </w:r>
      <w:r w:rsidR="00E21D8B">
        <w:rPr>
          <w:rFonts w:eastAsia="Times New Roman"/>
          <w:color w:val="000000" w:themeColor="text1"/>
        </w:rPr>
        <w:t>ue</w:t>
      </w:r>
      <w:r w:rsidRPr="6B4484AB">
        <w:rPr>
          <w:rFonts w:eastAsia="Times New Roman"/>
          <w:color w:val="000000" w:themeColor="text1"/>
        </w:rPr>
        <w:t xml:space="preserve"> à une menace de révéler son orientation sexuelle véritable à sa famille. </w:t>
      </w:r>
      <w:r w:rsidR="3792E021" w:rsidRPr="6B4484AB">
        <w:rPr>
          <w:rFonts w:eastAsia="Times New Roman"/>
          <w:color w:val="000000" w:themeColor="text1"/>
        </w:rPr>
        <w:t xml:space="preserve">L’agent </w:t>
      </w:r>
      <w:r w:rsidR="1D5CF731" w:rsidRPr="1E0C1C4D">
        <w:rPr>
          <w:rFonts w:eastAsia="Times New Roman"/>
          <w:color w:val="000000" w:themeColor="text1"/>
        </w:rPr>
        <w:t>Ali</w:t>
      </w:r>
      <w:r w:rsidR="3792E021" w:rsidRPr="6B4484AB">
        <w:rPr>
          <w:rFonts w:eastAsia="Times New Roman"/>
          <w:color w:val="000000" w:themeColor="text1"/>
        </w:rPr>
        <w:t xml:space="preserve"> a omis d’analyser tous les faits pertinents en l</w:t>
      </w:r>
      <w:r w:rsidR="00E21D8B">
        <w:rPr>
          <w:rFonts w:eastAsia="Times New Roman"/>
          <w:color w:val="000000" w:themeColor="text1"/>
        </w:rPr>
        <w:t>’</w:t>
      </w:r>
      <w:r w:rsidR="3792E021" w:rsidRPr="6B4484AB">
        <w:rPr>
          <w:rFonts w:eastAsia="Times New Roman"/>
          <w:color w:val="000000" w:themeColor="text1"/>
        </w:rPr>
        <w:t>espèce, car il n’a fait aucune distinction entre la période de 2011 à novembre 2013 et entre la période de décembre 2013 à février 2014. Bien que la</w:t>
      </w:r>
      <w:r w:rsidR="009409CA">
        <w:rPr>
          <w:rFonts w:eastAsia="Times New Roman"/>
          <w:color w:val="000000" w:themeColor="text1"/>
        </w:rPr>
        <w:t xml:space="preserve"> faible</w:t>
      </w:r>
      <w:r w:rsidR="3792E021" w:rsidRPr="6B4484AB">
        <w:rPr>
          <w:rFonts w:eastAsia="Times New Roman"/>
          <w:color w:val="000000" w:themeColor="text1"/>
        </w:rPr>
        <w:t xml:space="preserve"> participation de M.</w:t>
      </w:r>
      <w:r w:rsidR="00E21D8B">
        <w:rPr>
          <w:rFonts w:eastAsia="Times New Roman"/>
          <w:color w:val="000000" w:themeColor="text1"/>
        </w:rPr>
        <w:t> </w:t>
      </w:r>
      <w:r w:rsidR="3792E021" w:rsidRPr="6B4484AB">
        <w:rPr>
          <w:rFonts w:eastAsia="Times New Roman"/>
          <w:color w:val="000000" w:themeColor="text1"/>
        </w:rPr>
        <w:t xml:space="preserve">Chowdhury </w:t>
      </w:r>
      <w:r w:rsidR="009409CA">
        <w:rPr>
          <w:rFonts w:eastAsia="Times New Roman"/>
          <w:color w:val="000000" w:themeColor="text1"/>
        </w:rPr>
        <w:t xml:space="preserve">était </w:t>
      </w:r>
      <w:r w:rsidR="3792E021" w:rsidRPr="6B4484AB">
        <w:rPr>
          <w:rFonts w:eastAsia="Times New Roman"/>
          <w:color w:val="000000" w:themeColor="text1"/>
        </w:rPr>
        <w:t xml:space="preserve">volontaire dans le premier intervalle, elle ne l’était pas dans le deuxième intervalle. </w:t>
      </w:r>
      <w:r w:rsidR="0863243B" w:rsidRPr="6B4484AB">
        <w:rPr>
          <w:rFonts w:eastAsia="Times New Roman"/>
          <w:color w:val="000000" w:themeColor="text1"/>
        </w:rPr>
        <w:t>Il s’agit d’un fait central dans notre analyse.</w:t>
      </w:r>
      <w:r w:rsidR="7E2D4395" w:rsidRPr="07ABB96B">
        <w:rPr>
          <w:rFonts w:eastAsia="Times New Roman"/>
          <w:color w:val="000000" w:themeColor="text1"/>
        </w:rPr>
        <w:t xml:space="preserve"> </w:t>
      </w:r>
    </w:p>
    <w:p w14:paraId="1DEBB6B7" w14:textId="3F5EC9CF" w:rsidR="00E15E80" w:rsidRPr="00423F7B" w:rsidRDefault="7E2D4395" w:rsidP="009409CA">
      <w:pPr>
        <w:pStyle w:val="ListParagraph"/>
        <w:numPr>
          <w:ilvl w:val="3"/>
          <w:numId w:val="8"/>
        </w:numPr>
        <w:spacing w:after="240" w:line="480" w:lineRule="auto"/>
        <w:jc w:val="both"/>
        <w:rPr>
          <w:rFonts w:eastAsia="Times New Roman"/>
          <w:b/>
          <w:bCs/>
          <w:color w:val="000000" w:themeColor="text1"/>
          <w:spacing w:val="-5"/>
        </w:rPr>
      </w:pPr>
      <w:r w:rsidRPr="00423F7B">
        <w:rPr>
          <w:rFonts w:eastAsia="Times New Roman"/>
          <w:b/>
          <w:bCs/>
          <w:color w:val="000000" w:themeColor="text1"/>
        </w:rPr>
        <w:t>Homosexualité du défendeur et risque de persécution</w:t>
      </w:r>
    </w:p>
    <w:p w14:paraId="7286D62E" w14:textId="7B8F3F02" w:rsidR="47B40CC2" w:rsidRDefault="47B40CC2" w:rsidP="6C7F6067">
      <w:pPr>
        <w:pStyle w:val="ListParagraph"/>
        <w:numPr>
          <w:ilvl w:val="0"/>
          <w:numId w:val="7"/>
        </w:numPr>
        <w:spacing w:after="240" w:line="480" w:lineRule="auto"/>
        <w:ind w:left="0" w:firstLine="357"/>
        <w:jc w:val="both"/>
        <w:rPr>
          <w:rFonts w:eastAsia="Times New Roman"/>
          <w:color w:val="000000" w:themeColor="text1"/>
        </w:rPr>
      </w:pPr>
      <w:r w:rsidRPr="6C7F6067">
        <w:rPr>
          <w:rFonts w:eastAsia="Times New Roman"/>
          <w:color w:val="000000" w:themeColor="text1"/>
        </w:rPr>
        <w:t>La juge Jagger a souligné que le demandeur se trouvait dans une situation particulière à cause de son orientation sexuelle. Nous trouvons que cet aspect n’a pas été assez élaboré</w:t>
      </w:r>
      <w:r w:rsidR="608B0A6A" w:rsidRPr="6C7F6067">
        <w:rPr>
          <w:rFonts w:eastAsia="Times New Roman"/>
          <w:color w:val="000000" w:themeColor="text1"/>
        </w:rPr>
        <w:t xml:space="preserve"> par la juge Jagger. Selon </w:t>
      </w:r>
      <w:r w:rsidR="6199B6EA" w:rsidRPr="6C7F6067">
        <w:rPr>
          <w:rFonts w:eastAsia="Times New Roman"/>
          <w:color w:val="000000" w:themeColor="text1"/>
        </w:rPr>
        <w:t>le dernier</w:t>
      </w:r>
      <w:r w:rsidR="608B0A6A" w:rsidRPr="6C7F6067">
        <w:rPr>
          <w:rFonts w:eastAsia="Times New Roman"/>
          <w:color w:val="000000" w:themeColor="text1"/>
        </w:rPr>
        <w:t xml:space="preserve"> rapport de </w:t>
      </w:r>
      <w:r w:rsidR="608B0A6A" w:rsidRPr="5C95ADDE">
        <w:rPr>
          <w:rFonts w:eastAsia="Times New Roman"/>
          <w:i/>
          <w:iCs/>
          <w:color w:val="000000" w:themeColor="text1"/>
        </w:rPr>
        <w:t>Human Rights Watch</w:t>
      </w:r>
      <w:r w:rsidRPr="6C7F6067">
        <w:rPr>
          <w:rStyle w:val="FootnoteReference"/>
          <w:rFonts w:eastAsia="Times New Roman"/>
          <w:color w:val="000000" w:themeColor="text1"/>
        </w:rPr>
        <w:footnoteReference w:id="92"/>
      </w:r>
      <w:r w:rsidR="2371D37D" w:rsidRPr="6C7F6067">
        <w:rPr>
          <w:rFonts w:eastAsia="Times New Roman"/>
          <w:color w:val="000000" w:themeColor="text1"/>
        </w:rPr>
        <w:t xml:space="preserve">, </w:t>
      </w:r>
      <w:r w:rsidR="7DC6C036" w:rsidRPr="6C7F6067">
        <w:rPr>
          <w:rFonts w:eastAsia="Times New Roman"/>
          <w:color w:val="000000" w:themeColor="text1"/>
        </w:rPr>
        <w:t xml:space="preserve">les activistes gai, bisexuel et transgenre sont encore la cible de violence et la police ne fait pas assez pour les défendre. </w:t>
      </w:r>
      <w:r w:rsidR="07A2F1A4" w:rsidRPr="6C7F6067">
        <w:rPr>
          <w:rFonts w:eastAsia="Times New Roman"/>
          <w:color w:val="000000" w:themeColor="text1"/>
        </w:rPr>
        <w:t>Même si M.</w:t>
      </w:r>
      <w:r w:rsidR="00E21D8B">
        <w:rPr>
          <w:rFonts w:eastAsia="Times New Roman"/>
          <w:color w:val="000000" w:themeColor="text1"/>
        </w:rPr>
        <w:t> </w:t>
      </w:r>
      <w:r w:rsidR="07A2F1A4" w:rsidRPr="6C7F6067">
        <w:rPr>
          <w:rFonts w:eastAsia="Times New Roman"/>
          <w:color w:val="000000" w:themeColor="text1"/>
        </w:rPr>
        <w:t xml:space="preserve">Chowdhury n’est pas un activiste, les risques à sa sécurité et à sa vie sont réels. </w:t>
      </w:r>
      <w:r w:rsidR="1472A33A" w:rsidRPr="6C7F6067">
        <w:rPr>
          <w:rFonts w:eastAsia="Times New Roman"/>
          <w:color w:val="000000" w:themeColor="text1"/>
        </w:rPr>
        <w:t>De plus, la section</w:t>
      </w:r>
      <w:r w:rsidR="00E21D8B">
        <w:rPr>
          <w:rFonts w:eastAsia="Times New Roman"/>
          <w:color w:val="000000" w:themeColor="text1"/>
        </w:rPr>
        <w:t> </w:t>
      </w:r>
      <w:r w:rsidR="1472A33A" w:rsidRPr="6C7F6067">
        <w:rPr>
          <w:rFonts w:eastAsia="Times New Roman"/>
          <w:color w:val="000000" w:themeColor="text1"/>
        </w:rPr>
        <w:t>377 du Code pénal au B</w:t>
      </w:r>
      <w:r w:rsidR="00E21D8B">
        <w:rPr>
          <w:rFonts w:eastAsia="Times New Roman"/>
          <w:color w:val="000000" w:themeColor="text1"/>
        </w:rPr>
        <w:t>a</w:t>
      </w:r>
      <w:r w:rsidR="1472A33A" w:rsidRPr="6C7F6067">
        <w:rPr>
          <w:rFonts w:eastAsia="Times New Roman"/>
          <w:color w:val="000000" w:themeColor="text1"/>
        </w:rPr>
        <w:t>ngladesh prévoit un emprisonnement à vie pour «</w:t>
      </w:r>
      <w:r w:rsidR="00E21D8B">
        <w:rPr>
          <w:rFonts w:eastAsia="Times New Roman"/>
          <w:color w:val="000000" w:themeColor="text1"/>
        </w:rPr>
        <w:t> </w:t>
      </w:r>
      <w:r w:rsidR="1472A33A" w:rsidRPr="6C7F6067">
        <w:rPr>
          <w:rFonts w:eastAsia="Times New Roman"/>
          <w:color w:val="000000" w:themeColor="text1"/>
        </w:rPr>
        <w:t>carnal intercourse against the order of nature</w:t>
      </w:r>
      <w:r w:rsidR="00E21D8B">
        <w:rPr>
          <w:rFonts w:eastAsia="Times New Roman"/>
          <w:color w:val="000000" w:themeColor="text1"/>
        </w:rPr>
        <w:t> </w:t>
      </w:r>
      <w:r w:rsidR="1472A33A" w:rsidRPr="6C7F6067">
        <w:rPr>
          <w:rFonts w:eastAsia="Times New Roman"/>
          <w:color w:val="000000" w:themeColor="text1"/>
        </w:rPr>
        <w:t>» en faisant référence aux r</w:t>
      </w:r>
      <w:r w:rsidR="4CB0F207" w:rsidRPr="6C7F6067">
        <w:rPr>
          <w:rFonts w:eastAsia="Times New Roman"/>
          <w:color w:val="000000" w:themeColor="text1"/>
        </w:rPr>
        <w:t xml:space="preserve">apports homosexuels. </w:t>
      </w:r>
      <w:r w:rsidR="708AAE13" w:rsidRPr="6C7F6067">
        <w:rPr>
          <w:rFonts w:eastAsia="Times New Roman"/>
          <w:color w:val="000000" w:themeColor="text1"/>
        </w:rPr>
        <w:t xml:space="preserve">Même s’il n’est pas tué, il risque sérieusement d’être emprisonné à vie pour son orientation sexuelle. </w:t>
      </w:r>
    </w:p>
    <w:p w14:paraId="1CE26DE6" w14:textId="684FCFF5" w:rsidR="00D444D4" w:rsidRPr="00A627C4" w:rsidRDefault="0053094B" w:rsidP="07ABB96B">
      <w:pPr>
        <w:pStyle w:val="ListParagraph"/>
        <w:numPr>
          <w:ilvl w:val="1"/>
          <w:numId w:val="8"/>
        </w:numPr>
        <w:spacing w:after="240" w:line="240" w:lineRule="auto"/>
        <w:jc w:val="both"/>
        <w:rPr>
          <w:rFonts w:eastAsia="Times New Roman"/>
          <w:b/>
          <w:bCs/>
          <w:color w:val="000000" w:themeColor="text1"/>
          <w:spacing w:val="-5"/>
        </w:rPr>
      </w:pPr>
      <w:r w:rsidRPr="07ABB96B">
        <w:rPr>
          <w:rFonts w:eastAsia="Times New Roman"/>
          <w:b/>
          <w:bCs/>
          <w:color w:val="000000" w:themeColor="text1"/>
          <w:spacing w:val="-5"/>
        </w:rPr>
        <w:t>L’accumulation des mécanismes de la défense de contrainte et de l’article</w:t>
      </w:r>
      <w:r w:rsidR="00AE735A">
        <w:rPr>
          <w:rFonts w:eastAsia="Times New Roman"/>
          <w:b/>
          <w:bCs/>
          <w:color w:val="000000" w:themeColor="text1"/>
          <w:spacing w:val="-5"/>
        </w:rPr>
        <w:t> </w:t>
      </w:r>
      <w:r w:rsidRPr="07ABB96B">
        <w:rPr>
          <w:rFonts w:eastAsia="Times New Roman"/>
          <w:b/>
          <w:bCs/>
          <w:color w:val="000000" w:themeColor="text1"/>
          <w:spacing w:val="-5"/>
        </w:rPr>
        <w:t>42.1 de la LIPR</w:t>
      </w:r>
    </w:p>
    <w:p w14:paraId="5C0D42E2" w14:textId="77777777" w:rsidR="00D444D4" w:rsidRPr="00A627C4" w:rsidRDefault="00D444D4" w:rsidP="00D444D4">
      <w:pPr>
        <w:pStyle w:val="ListParagraph"/>
        <w:spacing w:after="240" w:line="240" w:lineRule="auto"/>
        <w:ind w:left="1440"/>
        <w:jc w:val="both"/>
        <w:rPr>
          <w:rFonts w:eastAsia="Times New Roman"/>
          <w:b/>
          <w:color w:val="000000" w:themeColor="text1"/>
          <w:spacing w:val="-5"/>
        </w:rPr>
      </w:pPr>
    </w:p>
    <w:p w14:paraId="4ADE55AE" w14:textId="552BFFAE" w:rsidR="00A6700E" w:rsidRPr="00A627C4" w:rsidRDefault="005B0626" w:rsidP="0004256F">
      <w:pPr>
        <w:pStyle w:val="ListParagraph"/>
        <w:numPr>
          <w:ilvl w:val="0"/>
          <w:numId w:val="7"/>
        </w:numPr>
        <w:spacing w:after="240" w:line="480" w:lineRule="auto"/>
        <w:ind w:left="0" w:firstLine="357"/>
        <w:jc w:val="both"/>
        <w:rPr>
          <w:rFonts w:eastAsia="Times New Roman"/>
          <w:spacing w:val="-5"/>
        </w:rPr>
      </w:pPr>
      <w:r>
        <w:rPr>
          <w:rFonts w:eastAsia="Times New Roman"/>
          <w:spacing w:val="-5"/>
        </w:rPr>
        <w:t>L’article</w:t>
      </w:r>
      <w:r w:rsidR="00AE735A">
        <w:rPr>
          <w:rFonts w:eastAsia="Times New Roman"/>
          <w:spacing w:val="-5"/>
        </w:rPr>
        <w:t> </w:t>
      </w:r>
      <w:r w:rsidR="00934EBA" w:rsidRPr="00A627C4">
        <w:rPr>
          <w:rFonts w:eastAsia="Times New Roman"/>
          <w:spacing w:val="-5"/>
        </w:rPr>
        <w:t>42.1 de la LIPR prévoit qu</w:t>
      </w:r>
      <w:r w:rsidR="00D916E8" w:rsidRPr="00A627C4">
        <w:rPr>
          <w:rFonts w:eastAsia="Times New Roman"/>
          <w:spacing w:val="-5"/>
        </w:rPr>
        <w:t>’une demande de dispense</w:t>
      </w:r>
      <w:r w:rsidR="008C3ED0" w:rsidRPr="00A627C4">
        <w:rPr>
          <w:rFonts w:eastAsia="Times New Roman"/>
          <w:spacing w:val="-5"/>
        </w:rPr>
        <w:t xml:space="preserve"> peut être faite </w:t>
      </w:r>
      <w:r w:rsidR="000A5C5E" w:rsidRPr="00A627C4">
        <w:rPr>
          <w:rFonts w:eastAsia="Times New Roman"/>
          <w:spacing w:val="-5"/>
        </w:rPr>
        <w:t xml:space="preserve">au </w:t>
      </w:r>
      <w:r w:rsidR="00AE735A">
        <w:rPr>
          <w:rFonts w:eastAsia="Times New Roman"/>
          <w:spacing w:val="-5"/>
        </w:rPr>
        <w:t>m</w:t>
      </w:r>
      <w:r w:rsidR="000A5C5E" w:rsidRPr="00A627C4">
        <w:rPr>
          <w:rFonts w:eastAsia="Times New Roman"/>
          <w:spacing w:val="-5"/>
        </w:rPr>
        <w:t xml:space="preserve">inistre </w:t>
      </w:r>
      <w:r w:rsidR="002E031C" w:rsidRPr="00A627C4">
        <w:rPr>
          <w:rFonts w:eastAsia="Times New Roman"/>
          <w:spacing w:val="-5"/>
        </w:rPr>
        <w:t xml:space="preserve">afin que le demandeur soit </w:t>
      </w:r>
      <w:r w:rsidR="0017075A" w:rsidRPr="00A627C4">
        <w:rPr>
          <w:rFonts w:eastAsia="Times New Roman"/>
          <w:spacing w:val="-5"/>
        </w:rPr>
        <w:t>admis et évite l’interdiction de territoire «</w:t>
      </w:r>
      <w:r w:rsidR="00AE735A">
        <w:rPr>
          <w:rFonts w:eastAsia="Times New Roman"/>
          <w:spacing w:val="-5"/>
        </w:rPr>
        <w:t> </w:t>
      </w:r>
      <w:r w:rsidR="0017075A" w:rsidRPr="00A627C4">
        <w:rPr>
          <w:rFonts w:eastAsia="Times New Roman"/>
          <w:spacing w:val="-5"/>
        </w:rPr>
        <w:t>si celui-ci convainc que cela ne serait pas contraire à l’intérêt national</w:t>
      </w:r>
      <w:r w:rsidR="00AE735A">
        <w:rPr>
          <w:rFonts w:eastAsia="Times New Roman"/>
          <w:spacing w:val="-5"/>
        </w:rPr>
        <w:t> </w:t>
      </w:r>
      <w:r w:rsidR="0017075A" w:rsidRPr="00A627C4">
        <w:rPr>
          <w:rFonts w:eastAsia="Times New Roman"/>
          <w:spacing w:val="-5"/>
        </w:rPr>
        <w:t xml:space="preserve">». </w:t>
      </w:r>
      <w:r w:rsidR="00D40957">
        <w:rPr>
          <w:rFonts w:eastAsia="Times New Roman"/>
          <w:spacing w:val="-5"/>
        </w:rPr>
        <w:t xml:space="preserve">Or, </w:t>
      </w:r>
      <w:r w:rsidR="00500F05" w:rsidRPr="00A627C4">
        <w:rPr>
          <w:rFonts w:eastAsia="Times New Roman"/>
          <w:spacing w:val="-5"/>
        </w:rPr>
        <w:t>que le demandeur puisse soulever la défense de contrainte afin</w:t>
      </w:r>
      <w:r w:rsidR="00330A08" w:rsidRPr="00A627C4">
        <w:rPr>
          <w:rFonts w:eastAsia="Times New Roman"/>
          <w:spacing w:val="-5"/>
        </w:rPr>
        <w:t xml:space="preserve"> d’obtenir une dispense </w:t>
      </w:r>
      <w:r w:rsidR="00EB1402" w:rsidRPr="00A627C4">
        <w:rPr>
          <w:rFonts w:eastAsia="Times New Roman"/>
          <w:spacing w:val="-5"/>
        </w:rPr>
        <w:t>ministérielle</w:t>
      </w:r>
      <w:r w:rsidR="00331372" w:rsidRPr="00A627C4">
        <w:rPr>
          <w:rFonts w:eastAsia="Times New Roman"/>
          <w:spacing w:val="-5"/>
        </w:rPr>
        <w:t xml:space="preserve"> </w:t>
      </w:r>
      <w:r w:rsidR="00331372" w:rsidRPr="00A627C4">
        <w:rPr>
          <w:rFonts w:eastAsia="Times New Roman"/>
          <w:spacing w:val="-5"/>
          <w:u w:val="single"/>
        </w:rPr>
        <w:t>ne signifie pas</w:t>
      </w:r>
      <w:r w:rsidR="00331372" w:rsidRPr="00A627C4">
        <w:rPr>
          <w:rFonts w:eastAsia="Times New Roman"/>
          <w:spacing w:val="-5"/>
        </w:rPr>
        <w:t xml:space="preserve"> qu’il ne peut pas plaider la</w:t>
      </w:r>
      <w:r w:rsidR="00BF35F2" w:rsidRPr="00A627C4">
        <w:rPr>
          <w:rFonts w:eastAsia="Times New Roman"/>
          <w:spacing w:val="-5"/>
        </w:rPr>
        <w:t xml:space="preserve"> </w:t>
      </w:r>
      <w:r w:rsidR="00331372" w:rsidRPr="00A627C4">
        <w:rPr>
          <w:rFonts w:eastAsia="Times New Roman"/>
          <w:spacing w:val="-5"/>
        </w:rPr>
        <w:t xml:space="preserve">défense de contrainte au stade de l’évaluation </w:t>
      </w:r>
      <w:r w:rsidR="000635FE" w:rsidRPr="00A627C4">
        <w:rPr>
          <w:rFonts w:eastAsia="Times New Roman"/>
          <w:spacing w:val="-5"/>
        </w:rPr>
        <w:t xml:space="preserve">de l’appartenance à une organisation </w:t>
      </w:r>
      <w:r w:rsidR="00DB4E68" w:rsidRPr="00A627C4">
        <w:rPr>
          <w:rFonts w:eastAsia="Times New Roman"/>
          <w:spacing w:val="-5"/>
        </w:rPr>
        <w:t>visée par les alinéas 34</w:t>
      </w:r>
      <w:r w:rsidR="00AE735A">
        <w:rPr>
          <w:rFonts w:eastAsia="Times New Roman"/>
          <w:spacing w:val="-5"/>
        </w:rPr>
        <w:t xml:space="preserve"> </w:t>
      </w:r>
      <w:r w:rsidR="00DB4E68" w:rsidRPr="00A627C4">
        <w:rPr>
          <w:rFonts w:eastAsia="Times New Roman"/>
          <w:spacing w:val="-5"/>
        </w:rPr>
        <w:t xml:space="preserve">(1) b) et f) de la LIPR. </w:t>
      </w:r>
      <w:r w:rsidR="00CD7A0F" w:rsidRPr="00A627C4">
        <w:rPr>
          <w:rFonts w:eastAsia="Times New Roman"/>
          <w:spacing w:val="-5"/>
        </w:rPr>
        <w:t xml:space="preserve">Cet argument a déjà </w:t>
      </w:r>
      <w:r w:rsidR="00B230A8" w:rsidRPr="00A627C4">
        <w:rPr>
          <w:rFonts w:eastAsia="Times New Roman"/>
          <w:spacing w:val="-5"/>
        </w:rPr>
        <w:t>été</w:t>
      </w:r>
      <w:r w:rsidR="00CD7A0F" w:rsidRPr="00A627C4">
        <w:rPr>
          <w:rFonts w:eastAsia="Times New Roman"/>
          <w:spacing w:val="-5"/>
        </w:rPr>
        <w:t xml:space="preserve"> rejeté pour cause</w:t>
      </w:r>
      <w:r w:rsidR="00A6700E" w:rsidRPr="00A627C4">
        <w:rPr>
          <w:rFonts w:eastAsia="Times New Roman"/>
          <w:spacing w:val="-5"/>
        </w:rPr>
        <w:t xml:space="preserve"> dans la jurisprudence antérieure</w:t>
      </w:r>
      <w:r w:rsidR="00CD7A0F" w:rsidRPr="00A627C4">
        <w:rPr>
          <w:rFonts w:eastAsia="Times New Roman"/>
          <w:spacing w:val="-5"/>
        </w:rPr>
        <w:t xml:space="preserve">. </w:t>
      </w:r>
    </w:p>
    <w:p w14:paraId="77575213" w14:textId="1EFCB952" w:rsidR="00591A5E" w:rsidRPr="00220211" w:rsidRDefault="4734DFD3" w:rsidP="00A6700E">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 xml:space="preserve">La dispense ministérielle </w:t>
      </w:r>
      <w:r w:rsidR="3EA361F2" w:rsidRPr="00A627C4">
        <w:rPr>
          <w:rFonts w:eastAsia="Times New Roman"/>
          <w:spacing w:val="-5"/>
        </w:rPr>
        <w:t xml:space="preserve">a pour objectif </w:t>
      </w:r>
      <w:r w:rsidR="4B2CE8DC" w:rsidRPr="00A627C4">
        <w:rPr>
          <w:rFonts w:eastAsia="Times New Roman"/>
          <w:spacing w:val="-5"/>
        </w:rPr>
        <w:t xml:space="preserve">de </w:t>
      </w:r>
      <w:r w:rsidR="65DA3BA7">
        <w:rPr>
          <w:rFonts w:eastAsia="Times New Roman"/>
          <w:spacing w:val="-5"/>
        </w:rPr>
        <w:t>«</w:t>
      </w:r>
      <w:r w:rsidR="00AE735A">
        <w:rPr>
          <w:rFonts w:eastAsia="Times New Roman"/>
          <w:spacing w:val="-5"/>
        </w:rPr>
        <w:t> </w:t>
      </w:r>
      <w:r w:rsidR="65DA3BA7">
        <w:rPr>
          <w:rFonts w:eastAsia="Times New Roman"/>
          <w:spacing w:val="-5"/>
        </w:rPr>
        <w:t>protéger les membres innocents d’une organisation</w:t>
      </w:r>
      <w:r w:rsidR="00AE735A">
        <w:rPr>
          <w:rFonts w:eastAsia="Times New Roman"/>
          <w:spacing w:val="-5"/>
        </w:rPr>
        <w:t> </w:t>
      </w:r>
      <w:r w:rsidR="65DA3BA7">
        <w:rPr>
          <w:rFonts w:eastAsia="Times New Roman"/>
          <w:spacing w:val="-5"/>
        </w:rPr>
        <w:t>» et de ceux qui ne présentent pas un danger pour l’intérêt national du Canada</w:t>
      </w:r>
      <w:r w:rsidR="00195ABC" w:rsidRPr="00A627C4">
        <w:rPr>
          <w:rStyle w:val="FootnoteReference"/>
          <w:rFonts w:eastAsia="Times New Roman"/>
          <w:spacing w:val="-5"/>
        </w:rPr>
        <w:footnoteReference w:id="93"/>
      </w:r>
      <w:r w:rsidR="65DA3BA7">
        <w:rPr>
          <w:rFonts w:eastAsia="Times New Roman"/>
          <w:spacing w:val="-5"/>
        </w:rPr>
        <w:t>.</w:t>
      </w:r>
      <w:r w:rsidR="01BC5971">
        <w:rPr>
          <w:rFonts w:eastAsia="Times New Roman"/>
          <w:spacing w:val="-5"/>
        </w:rPr>
        <w:t xml:space="preserve"> </w:t>
      </w:r>
      <w:r w:rsidR="61E95AD5" w:rsidRPr="00220211">
        <w:rPr>
          <w:rFonts w:eastAsia="Times New Roman"/>
          <w:spacing w:val="-5"/>
        </w:rPr>
        <w:t>La défense</w:t>
      </w:r>
      <w:r w:rsidR="58B3B2FB" w:rsidRPr="00220211">
        <w:rPr>
          <w:rFonts w:eastAsia="Times New Roman"/>
          <w:spacing w:val="-5"/>
        </w:rPr>
        <w:t xml:space="preserve"> de contrainte peut légitimement être soulevée dans le cadre d’une demande de dispense afin de fournir les outils pertinents au ministre pour évaluer l’innocence du demandeur</w:t>
      </w:r>
      <w:r w:rsidR="6375B5D9" w:rsidRPr="00220211">
        <w:rPr>
          <w:rFonts w:eastAsia="Times New Roman"/>
          <w:spacing w:val="-5"/>
        </w:rPr>
        <w:t xml:space="preserve"> ou</w:t>
      </w:r>
      <w:r w:rsidR="4A74DF35" w:rsidRPr="00220211">
        <w:rPr>
          <w:rFonts w:eastAsia="Times New Roman"/>
          <w:spacing w:val="-5"/>
        </w:rPr>
        <w:t xml:space="preserve"> </w:t>
      </w:r>
      <w:r w:rsidR="6375B5D9" w:rsidRPr="00220211">
        <w:rPr>
          <w:rFonts w:eastAsia="Times New Roman"/>
          <w:spacing w:val="-5"/>
        </w:rPr>
        <w:t xml:space="preserve">l’absence de danger. </w:t>
      </w:r>
    </w:p>
    <w:p w14:paraId="181827C2" w14:textId="13FC90BA" w:rsidR="00591A5E" w:rsidRPr="00A627C4" w:rsidRDefault="58C90051" w:rsidP="0004256F">
      <w:pPr>
        <w:pStyle w:val="ListParagraph"/>
        <w:numPr>
          <w:ilvl w:val="0"/>
          <w:numId w:val="7"/>
        </w:numPr>
        <w:spacing w:after="240" w:line="480" w:lineRule="auto"/>
        <w:ind w:left="0" w:firstLine="357"/>
        <w:jc w:val="both"/>
        <w:rPr>
          <w:rFonts w:eastAsia="Times New Roman"/>
          <w:spacing w:val="-5"/>
        </w:rPr>
      </w:pPr>
      <w:r w:rsidRPr="00A627C4">
        <w:rPr>
          <w:rFonts w:eastAsia="Times New Roman"/>
          <w:spacing w:val="-5"/>
        </w:rPr>
        <w:t>Comme statué dans l</w:t>
      </w:r>
      <w:r w:rsidR="4F44F709">
        <w:rPr>
          <w:rFonts w:eastAsia="Times New Roman"/>
          <w:spacing w:val="-5"/>
        </w:rPr>
        <w:t>es</w:t>
      </w:r>
      <w:r w:rsidR="44D52EBE" w:rsidRPr="00A627C4">
        <w:rPr>
          <w:rFonts w:eastAsia="Times New Roman"/>
          <w:spacing w:val="-5"/>
        </w:rPr>
        <w:t xml:space="preserve"> sections</w:t>
      </w:r>
      <w:r w:rsidR="00AE735A">
        <w:rPr>
          <w:rFonts w:eastAsia="Times New Roman"/>
          <w:spacing w:val="-5"/>
        </w:rPr>
        <w:t> </w:t>
      </w:r>
      <w:r w:rsidR="44D52EBE" w:rsidRPr="00A627C4">
        <w:rPr>
          <w:rFonts w:eastAsia="Times New Roman"/>
          <w:spacing w:val="-5"/>
        </w:rPr>
        <w:t>3.1</w:t>
      </w:r>
      <w:r w:rsidR="0E689ADD" w:rsidRPr="00A627C4">
        <w:rPr>
          <w:rFonts w:eastAsia="Times New Roman"/>
          <w:spacing w:val="-5"/>
        </w:rPr>
        <w:t xml:space="preserve"> et 3.</w:t>
      </w:r>
      <w:r w:rsidR="00F02CB5">
        <w:rPr>
          <w:rFonts w:eastAsia="Times New Roman"/>
          <w:spacing w:val="-5"/>
        </w:rPr>
        <w:t>3,</w:t>
      </w:r>
      <w:r w:rsidR="0E689ADD" w:rsidRPr="00A627C4">
        <w:rPr>
          <w:rFonts w:eastAsia="Times New Roman"/>
          <w:spacing w:val="-5"/>
        </w:rPr>
        <w:t xml:space="preserve"> </w:t>
      </w:r>
      <w:r w:rsidR="5CC1D495" w:rsidRPr="00A627C4">
        <w:rPr>
          <w:rFonts w:eastAsia="Times New Roman"/>
          <w:spacing w:val="-5"/>
        </w:rPr>
        <w:t>l’appartenance à une organisation visée par l’alinéa 34</w:t>
      </w:r>
      <w:r w:rsidR="00AE735A">
        <w:rPr>
          <w:rFonts w:eastAsia="Times New Roman"/>
          <w:spacing w:val="-5"/>
        </w:rPr>
        <w:t xml:space="preserve"> </w:t>
      </w:r>
      <w:r w:rsidR="5CC1D495" w:rsidRPr="00A627C4">
        <w:rPr>
          <w:rFonts w:eastAsia="Times New Roman"/>
          <w:spacing w:val="-5"/>
        </w:rPr>
        <w:t>(1) f) de la LIPR nécessite l’intention, ce qui ouvre la porte à la défense de contrainte</w:t>
      </w:r>
      <w:r w:rsidR="0E1BA3C7" w:rsidRPr="00A627C4">
        <w:rPr>
          <w:rFonts w:eastAsia="Times New Roman"/>
          <w:spacing w:val="-5"/>
        </w:rPr>
        <w:t>.</w:t>
      </w:r>
      <w:r w:rsidR="7DA6E596" w:rsidRPr="00A627C4">
        <w:rPr>
          <w:rFonts w:eastAsia="Times New Roman"/>
          <w:spacing w:val="-5"/>
        </w:rPr>
        <w:t xml:space="preserve"> </w:t>
      </w:r>
    </w:p>
    <w:p w14:paraId="172AEDD3" w14:textId="5B48F33B" w:rsidR="09A282C7" w:rsidRPr="00A627C4" w:rsidRDefault="17557961" w:rsidP="5AADE88D">
      <w:pPr>
        <w:pStyle w:val="ListParagraph"/>
        <w:numPr>
          <w:ilvl w:val="0"/>
          <w:numId w:val="7"/>
        </w:numPr>
        <w:spacing w:after="240" w:line="480" w:lineRule="auto"/>
        <w:ind w:left="0" w:firstLine="357"/>
        <w:jc w:val="both"/>
        <w:rPr>
          <w:spacing w:val="-5"/>
        </w:rPr>
      </w:pPr>
      <w:r w:rsidRPr="00A627C4">
        <w:rPr>
          <w:rFonts w:eastAsia="Times New Roman"/>
          <w:spacing w:val="-5"/>
        </w:rPr>
        <w:t>Or, comme l’affirme le juge Kane dans l’affaire</w:t>
      </w:r>
      <w:r w:rsidR="00AE735A">
        <w:rPr>
          <w:rFonts w:eastAsia="Times New Roman"/>
          <w:spacing w:val="-5"/>
        </w:rPr>
        <w:t> </w:t>
      </w:r>
      <w:r w:rsidRPr="2F76DB4C">
        <w:rPr>
          <w:rFonts w:eastAsia="Times New Roman"/>
          <w:i/>
          <w:iCs/>
          <w:spacing w:val="-5"/>
        </w:rPr>
        <w:t>B00</w:t>
      </w:r>
      <w:r w:rsidR="5C4EE17F" w:rsidRPr="2F76DB4C">
        <w:rPr>
          <w:rFonts w:eastAsia="Times New Roman"/>
          <w:i/>
          <w:iCs/>
          <w:spacing w:val="-5"/>
        </w:rPr>
        <w:t xml:space="preserve">6, </w:t>
      </w:r>
      <w:r w:rsidR="5C4EE17F" w:rsidRPr="00A627C4">
        <w:rPr>
          <w:rFonts w:eastAsia="Times New Roman"/>
          <w:spacing w:val="-5"/>
        </w:rPr>
        <w:t>«</w:t>
      </w:r>
      <w:r w:rsidR="00AE735A">
        <w:rPr>
          <w:rFonts w:eastAsia="Times New Roman"/>
          <w:spacing w:val="-5"/>
        </w:rPr>
        <w:t> </w:t>
      </w:r>
      <w:r w:rsidR="5C4EE17F" w:rsidRPr="00A627C4">
        <w:rPr>
          <w:rFonts w:eastAsia="Times New Roman"/>
          <w:spacing w:val="-5"/>
        </w:rPr>
        <w:t xml:space="preserve">la </w:t>
      </w:r>
      <w:r w:rsidR="78380069" w:rsidRPr="00A627C4">
        <w:rPr>
          <w:rFonts w:eastAsia="Times New Roman"/>
          <w:spacing w:val="-5"/>
        </w:rPr>
        <w:t>capacité de soulever des facteurs pertinents, y compris ceux se rapportant à la contrainte, dans le cas d</w:t>
      </w:r>
      <w:r w:rsidR="00AE735A">
        <w:rPr>
          <w:rFonts w:eastAsia="Times New Roman"/>
          <w:spacing w:val="-5"/>
        </w:rPr>
        <w:t>’</w:t>
      </w:r>
      <w:r w:rsidR="78380069" w:rsidRPr="00A627C4">
        <w:rPr>
          <w:rFonts w:eastAsia="Times New Roman"/>
          <w:spacing w:val="-5"/>
        </w:rPr>
        <w:t>une demande de dispense ministérielle n</w:t>
      </w:r>
      <w:r w:rsidR="00AE735A">
        <w:rPr>
          <w:rFonts w:eastAsia="Times New Roman"/>
          <w:spacing w:val="-5"/>
        </w:rPr>
        <w:t>’</w:t>
      </w:r>
      <w:r w:rsidR="78380069" w:rsidRPr="00A627C4">
        <w:rPr>
          <w:rFonts w:eastAsia="Times New Roman"/>
          <w:spacing w:val="-5"/>
        </w:rPr>
        <w:t>empêche pas le demandeur d</w:t>
      </w:r>
      <w:r w:rsidR="00AE735A">
        <w:rPr>
          <w:rFonts w:eastAsia="Times New Roman"/>
          <w:spacing w:val="-5"/>
        </w:rPr>
        <w:t>’</w:t>
      </w:r>
      <w:r w:rsidR="78380069" w:rsidRPr="00A627C4">
        <w:rPr>
          <w:rFonts w:eastAsia="Times New Roman"/>
          <w:spacing w:val="-5"/>
        </w:rPr>
        <w:t>invoquer la contrainte lorsqu</w:t>
      </w:r>
      <w:r w:rsidR="00AE735A">
        <w:rPr>
          <w:rFonts w:eastAsia="Times New Roman"/>
          <w:spacing w:val="-5"/>
        </w:rPr>
        <w:t>’</w:t>
      </w:r>
      <w:r w:rsidR="78380069" w:rsidRPr="00A627C4">
        <w:rPr>
          <w:rFonts w:eastAsia="Times New Roman"/>
          <w:spacing w:val="-5"/>
        </w:rPr>
        <w:t>il s</w:t>
      </w:r>
      <w:r w:rsidR="00AE735A">
        <w:rPr>
          <w:rFonts w:eastAsia="Times New Roman"/>
          <w:spacing w:val="-5"/>
        </w:rPr>
        <w:t>’</w:t>
      </w:r>
      <w:r w:rsidR="78380069" w:rsidRPr="00A627C4">
        <w:rPr>
          <w:rFonts w:eastAsia="Times New Roman"/>
          <w:spacing w:val="-5"/>
        </w:rPr>
        <w:t>agit de se prononcer sur son interdiction de territoire.</w:t>
      </w:r>
      <w:r w:rsidR="009B61E0" w:rsidRPr="00A627C4">
        <w:rPr>
          <w:rStyle w:val="FootnoteReference"/>
          <w:rFonts w:eastAsia="Times New Roman"/>
          <w:spacing w:val="-5"/>
        </w:rPr>
        <w:footnoteReference w:id="94"/>
      </w:r>
      <w:r w:rsidR="00AE735A">
        <w:rPr>
          <w:rFonts w:eastAsia="Times New Roman"/>
          <w:spacing w:val="-5"/>
        </w:rPr>
        <w:t> </w:t>
      </w:r>
      <w:r w:rsidR="1443A2B6" w:rsidRPr="00A627C4">
        <w:rPr>
          <w:rFonts w:eastAsia="Times New Roman"/>
          <w:spacing w:val="-5"/>
        </w:rPr>
        <w:t>»</w:t>
      </w:r>
      <w:r w:rsidR="150A915D" w:rsidRPr="00A627C4">
        <w:rPr>
          <w:rFonts w:eastAsia="Times New Roman"/>
          <w:spacing w:val="-5"/>
        </w:rPr>
        <w:t xml:space="preserve"> Le juge</w:t>
      </w:r>
      <w:r w:rsidR="324A9C18" w:rsidRPr="00A627C4">
        <w:rPr>
          <w:rFonts w:eastAsia="Times New Roman"/>
          <w:spacing w:val="-5"/>
        </w:rPr>
        <w:t xml:space="preserve"> Manson, dans l’affaire </w:t>
      </w:r>
      <w:r w:rsidR="324A9C18" w:rsidRPr="2F76DB4C">
        <w:rPr>
          <w:rFonts w:eastAsia="Times New Roman"/>
          <w:i/>
          <w:iCs/>
          <w:spacing w:val="-5"/>
        </w:rPr>
        <w:t xml:space="preserve">Lopez Gaytan, </w:t>
      </w:r>
      <w:r w:rsidR="324A9C18" w:rsidRPr="00A627C4">
        <w:rPr>
          <w:rFonts w:eastAsia="Times New Roman"/>
          <w:spacing w:val="-5"/>
        </w:rPr>
        <w:t xml:space="preserve">ajoute </w:t>
      </w:r>
      <w:r w:rsidR="3F7474DA" w:rsidRPr="00A627C4">
        <w:rPr>
          <w:rFonts w:eastAsia="Times New Roman"/>
          <w:spacing w:val="-5"/>
        </w:rPr>
        <w:t xml:space="preserve">que cela n’a pour effet de </w:t>
      </w:r>
      <w:r w:rsidR="4C4B7940" w:rsidRPr="00A627C4">
        <w:rPr>
          <w:rFonts w:eastAsia="Times New Roman"/>
          <w:spacing w:val="-5"/>
        </w:rPr>
        <w:t xml:space="preserve">vider </w:t>
      </w:r>
      <w:r w:rsidR="3ED9E68A" w:rsidRPr="00A627C4">
        <w:rPr>
          <w:rFonts w:eastAsia="Times New Roman"/>
          <w:spacing w:val="-5"/>
        </w:rPr>
        <w:t>l’article</w:t>
      </w:r>
      <w:r w:rsidR="00AE735A">
        <w:rPr>
          <w:rFonts w:eastAsia="Times New Roman"/>
          <w:spacing w:val="-5"/>
        </w:rPr>
        <w:t> </w:t>
      </w:r>
      <w:r w:rsidR="3ED9E68A" w:rsidRPr="00A627C4">
        <w:rPr>
          <w:rFonts w:eastAsia="Times New Roman"/>
          <w:spacing w:val="-5"/>
        </w:rPr>
        <w:t xml:space="preserve">42.1 de la LIPR de son sens, </w:t>
      </w:r>
      <w:r w:rsidR="77A2A5A6" w:rsidRPr="00A627C4">
        <w:rPr>
          <w:rFonts w:eastAsia="Times New Roman"/>
          <w:spacing w:val="-5"/>
        </w:rPr>
        <w:t xml:space="preserve">puisqu’il s’agit </w:t>
      </w:r>
      <w:r w:rsidR="33ADAF90" w:rsidRPr="00A627C4">
        <w:rPr>
          <w:rFonts w:eastAsia="Times New Roman"/>
          <w:spacing w:val="-5"/>
        </w:rPr>
        <w:t>d’une procédure différente</w:t>
      </w:r>
      <w:r w:rsidR="6035B141" w:rsidRPr="00A627C4">
        <w:rPr>
          <w:rFonts w:eastAsia="Times New Roman"/>
          <w:spacing w:val="-5"/>
        </w:rPr>
        <w:t xml:space="preserve"> à celle de l’alinéa</w:t>
      </w:r>
      <w:r w:rsidR="00AE735A">
        <w:rPr>
          <w:rFonts w:eastAsia="Times New Roman"/>
          <w:spacing w:val="-5"/>
        </w:rPr>
        <w:t> </w:t>
      </w:r>
      <w:r w:rsidR="6035B141" w:rsidRPr="00A627C4">
        <w:rPr>
          <w:rFonts w:eastAsia="Times New Roman"/>
          <w:spacing w:val="-5"/>
        </w:rPr>
        <w:t>34</w:t>
      </w:r>
      <w:r w:rsidR="00AE735A">
        <w:rPr>
          <w:rFonts w:eastAsia="Times New Roman"/>
          <w:spacing w:val="-5"/>
        </w:rPr>
        <w:t xml:space="preserve"> </w:t>
      </w:r>
      <w:r w:rsidR="6035B141" w:rsidRPr="00A627C4">
        <w:rPr>
          <w:rFonts w:eastAsia="Times New Roman"/>
          <w:spacing w:val="-5"/>
        </w:rPr>
        <w:t>(1) f) de la LIPR</w:t>
      </w:r>
      <w:r w:rsidR="3D1C357F" w:rsidRPr="00A627C4">
        <w:rPr>
          <w:rFonts w:eastAsia="Times New Roman"/>
          <w:spacing w:val="-5"/>
        </w:rPr>
        <w:t>, et que les deux ne sont pas mutuellement exclusives</w:t>
      </w:r>
      <w:r w:rsidR="00F94149" w:rsidRPr="00A627C4">
        <w:rPr>
          <w:rStyle w:val="FootnoteReference"/>
          <w:rFonts w:eastAsia="Times New Roman"/>
          <w:spacing w:val="-5"/>
        </w:rPr>
        <w:footnoteReference w:id="95"/>
      </w:r>
      <w:r w:rsidR="4D831732">
        <w:rPr>
          <w:rFonts w:eastAsia="Times New Roman"/>
          <w:spacing w:val="-5"/>
        </w:rPr>
        <w:t>.</w:t>
      </w:r>
    </w:p>
    <w:p w14:paraId="58488C4C" w14:textId="18E83C08" w:rsidR="00172A86" w:rsidRPr="00A627C4" w:rsidRDefault="00C32E90">
      <w:pPr>
        <w:spacing w:before="240" w:after="240"/>
        <w:jc w:val="center"/>
        <w:rPr>
          <w:rFonts w:eastAsia="Times New Roman"/>
          <w:b/>
          <w:spacing w:val="-5"/>
          <w:u w:val="single"/>
        </w:rPr>
      </w:pPr>
      <w:r w:rsidRPr="00A627C4">
        <w:rPr>
          <w:rFonts w:eastAsia="Times New Roman"/>
          <w:b/>
          <w:spacing w:val="-5"/>
          <w:u w:val="single"/>
        </w:rPr>
        <w:t>PARTIE</w:t>
      </w:r>
      <w:r w:rsidR="00AE735A">
        <w:rPr>
          <w:rFonts w:eastAsia="Times New Roman"/>
          <w:b/>
          <w:spacing w:val="-5"/>
          <w:u w:val="single"/>
        </w:rPr>
        <w:t> </w:t>
      </w:r>
      <w:r w:rsidRPr="00A627C4">
        <w:rPr>
          <w:rFonts w:eastAsia="Times New Roman"/>
          <w:b/>
          <w:spacing w:val="-5"/>
          <w:u w:val="single"/>
        </w:rPr>
        <w:t>IV - ORDONNANCE DEMANDÉE</w:t>
      </w:r>
    </w:p>
    <w:p w14:paraId="58488C4D" w14:textId="75E25B9E" w:rsidR="00172A86" w:rsidRPr="00A627C4" w:rsidRDefault="00C32E90">
      <w:pPr>
        <w:spacing w:before="240" w:after="240"/>
        <w:jc w:val="both"/>
        <w:rPr>
          <w:rFonts w:eastAsia="Times New Roman"/>
          <w:spacing w:val="-5"/>
        </w:rPr>
      </w:pPr>
      <w:r w:rsidRPr="00A627C4">
        <w:rPr>
          <w:rFonts w:eastAsia="Times New Roman"/>
          <w:spacing w:val="-5"/>
        </w:rPr>
        <w:t>Pour ces motifs, l’intimé demande à la Cour de la couronne du Canada de</w:t>
      </w:r>
      <w:r w:rsidR="00AE735A">
        <w:rPr>
          <w:rFonts w:eastAsia="Times New Roman"/>
          <w:spacing w:val="-5"/>
        </w:rPr>
        <w:t> </w:t>
      </w:r>
      <w:r w:rsidRPr="00A627C4">
        <w:rPr>
          <w:rFonts w:eastAsia="Times New Roman"/>
          <w:spacing w:val="-5"/>
        </w:rPr>
        <w:t xml:space="preserve">: </w:t>
      </w:r>
    </w:p>
    <w:p w14:paraId="58488C4E" w14:textId="07E1A873" w:rsidR="00172A86" w:rsidRPr="00A627C4" w:rsidRDefault="00C32E90">
      <w:pPr>
        <w:spacing w:before="240" w:after="240"/>
        <w:jc w:val="both"/>
        <w:rPr>
          <w:rFonts w:eastAsia="Times New Roman"/>
          <w:spacing w:val="-5"/>
        </w:rPr>
      </w:pPr>
      <w:r w:rsidRPr="00A627C4">
        <w:rPr>
          <w:rFonts w:eastAsia="Times New Roman"/>
          <w:b/>
          <w:spacing w:val="-5"/>
        </w:rPr>
        <w:t xml:space="preserve">MAINTENIR </w:t>
      </w:r>
      <w:r w:rsidRPr="00A627C4">
        <w:rPr>
          <w:rFonts w:eastAsia="Times New Roman"/>
          <w:spacing w:val="-5"/>
        </w:rPr>
        <w:t>la décision de la Cour fédérale</w:t>
      </w:r>
      <w:r w:rsidR="00AE735A">
        <w:rPr>
          <w:rFonts w:eastAsia="Times New Roman"/>
          <w:spacing w:val="-5"/>
        </w:rPr>
        <w:t> </w:t>
      </w:r>
      <w:r w:rsidRPr="00A627C4">
        <w:rPr>
          <w:rFonts w:eastAsia="Times New Roman"/>
          <w:spacing w:val="-5"/>
        </w:rPr>
        <w:t>;</w:t>
      </w:r>
    </w:p>
    <w:p w14:paraId="58488C4F" w14:textId="77777777" w:rsidR="00172A86" w:rsidRPr="00A627C4" w:rsidRDefault="00C32E90">
      <w:pPr>
        <w:spacing w:before="240" w:after="240"/>
        <w:jc w:val="both"/>
        <w:rPr>
          <w:rFonts w:eastAsia="Times New Roman"/>
          <w:spacing w:val="-5"/>
        </w:rPr>
      </w:pPr>
      <w:r w:rsidRPr="00A627C4">
        <w:rPr>
          <w:rFonts w:eastAsia="Times New Roman"/>
          <w:b/>
          <w:spacing w:val="-5"/>
        </w:rPr>
        <w:t xml:space="preserve">REJETER </w:t>
      </w:r>
      <w:r w:rsidRPr="00A627C4">
        <w:rPr>
          <w:rFonts w:eastAsia="Times New Roman"/>
          <w:spacing w:val="-5"/>
        </w:rPr>
        <w:t>l’appel.</w:t>
      </w:r>
    </w:p>
    <w:p w14:paraId="58488C50" w14:textId="77777777" w:rsidR="00172A86" w:rsidRPr="00A627C4" w:rsidRDefault="00C32E90">
      <w:pPr>
        <w:spacing w:before="240" w:after="240"/>
        <w:jc w:val="both"/>
        <w:rPr>
          <w:rFonts w:eastAsia="Times New Roman"/>
          <w:b/>
          <w:spacing w:val="-5"/>
        </w:rPr>
      </w:pPr>
      <w:r w:rsidRPr="00A627C4">
        <w:rPr>
          <w:rFonts w:eastAsia="Times New Roman"/>
          <w:b/>
          <w:spacing w:val="-5"/>
        </w:rPr>
        <w:t>AVEC DÉPENS.</w:t>
      </w:r>
    </w:p>
    <w:p w14:paraId="58488C51" w14:textId="77777777" w:rsidR="00172A86" w:rsidRPr="00A627C4" w:rsidRDefault="00C32E90">
      <w:pPr>
        <w:spacing w:after="120" w:line="360" w:lineRule="auto"/>
        <w:jc w:val="right"/>
        <w:rPr>
          <w:rFonts w:eastAsia="Times New Roman"/>
          <w:b/>
          <w:spacing w:val="-5"/>
        </w:rPr>
      </w:pPr>
      <w:r w:rsidRPr="00A627C4">
        <w:rPr>
          <w:rFonts w:eastAsia="Times New Roman"/>
          <w:b/>
          <w:spacing w:val="-5"/>
        </w:rPr>
        <w:t>Le tout soumis respectueusement.</w:t>
      </w:r>
    </w:p>
    <w:p w14:paraId="58488C52" w14:textId="2C3C930B" w:rsidR="00172A86" w:rsidRPr="00A627C4" w:rsidRDefault="00C32E90">
      <w:pPr>
        <w:spacing w:after="120" w:line="360" w:lineRule="auto"/>
        <w:jc w:val="right"/>
        <w:rPr>
          <w:rFonts w:eastAsia="Times New Roman"/>
          <w:b/>
          <w:spacing w:val="-5"/>
        </w:rPr>
      </w:pPr>
      <w:r w:rsidRPr="00A627C4">
        <w:rPr>
          <w:rFonts w:eastAsia="Times New Roman"/>
          <w:b/>
          <w:spacing w:val="-5"/>
        </w:rPr>
        <w:t xml:space="preserve">                </w:t>
      </w:r>
      <w:r w:rsidRPr="00A627C4">
        <w:rPr>
          <w:rFonts w:eastAsia="Times New Roman"/>
          <w:b/>
          <w:spacing w:val="-5"/>
        </w:rPr>
        <w:tab/>
        <w:t xml:space="preserve">Le </w:t>
      </w:r>
      <w:r w:rsidR="0048681C">
        <w:rPr>
          <w:rFonts w:eastAsia="Times New Roman"/>
          <w:b/>
          <w:spacing w:val="-5"/>
        </w:rPr>
        <w:t>12</w:t>
      </w:r>
      <w:r w:rsidRPr="00A627C4">
        <w:rPr>
          <w:rFonts w:eastAsia="Times New Roman"/>
          <w:b/>
          <w:spacing w:val="-5"/>
        </w:rPr>
        <w:t xml:space="preserve"> </w:t>
      </w:r>
      <w:r w:rsidR="0048681C">
        <w:rPr>
          <w:rFonts w:eastAsia="Times New Roman"/>
          <w:b/>
          <w:spacing w:val="-5"/>
        </w:rPr>
        <w:t>février</w:t>
      </w:r>
      <w:r w:rsidRPr="00A627C4">
        <w:rPr>
          <w:rFonts w:eastAsia="Times New Roman"/>
          <w:b/>
          <w:spacing w:val="-5"/>
        </w:rPr>
        <w:t xml:space="preserve"> 2021, </w:t>
      </w:r>
    </w:p>
    <w:p w14:paraId="58488C53" w14:textId="77777777" w:rsidR="00172A86" w:rsidRPr="00A627C4" w:rsidRDefault="00C32E90">
      <w:pPr>
        <w:spacing w:after="120" w:line="360" w:lineRule="auto"/>
        <w:jc w:val="right"/>
        <w:rPr>
          <w:rFonts w:eastAsia="Times New Roman"/>
          <w:spacing w:val="-5"/>
        </w:rPr>
      </w:pPr>
      <w:r w:rsidRPr="00A627C4">
        <w:rPr>
          <w:rFonts w:eastAsia="Times New Roman"/>
          <w:spacing w:val="-5"/>
        </w:rPr>
        <w:t>à la ville de Montréal</w:t>
      </w:r>
    </w:p>
    <w:p w14:paraId="58488C57" w14:textId="70C35500" w:rsidR="00172A86" w:rsidRPr="00A627C4" w:rsidRDefault="00C32E90" w:rsidP="00193990">
      <w:pPr>
        <w:spacing w:after="240"/>
        <w:jc w:val="right"/>
        <w:rPr>
          <w:rFonts w:eastAsia="Times New Roman"/>
          <w:spacing w:val="-5"/>
        </w:rPr>
      </w:pPr>
      <w:r w:rsidRPr="00A627C4">
        <w:rPr>
          <w:rFonts w:eastAsia="Times New Roman"/>
          <w:spacing w:val="-5"/>
        </w:rPr>
        <w:t xml:space="preserve">                                             </w:t>
      </w:r>
      <w:r w:rsidRPr="00A627C4">
        <w:rPr>
          <w:spacing w:val="-5"/>
        </w:rPr>
        <w:tab/>
      </w:r>
      <w:r w:rsidRPr="00A627C4">
        <w:rPr>
          <w:rFonts w:eastAsia="Times New Roman"/>
          <w:spacing w:val="-5"/>
        </w:rPr>
        <w:t xml:space="preserve">      </w:t>
      </w:r>
      <w:r w:rsidRPr="00A627C4">
        <w:rPr>
          <w:spacing w:val="-5"/>
        </w:rPr>
        <w:tab/>
      </w:r>
      <w:r w:rsidRPr="00A627C4">
        <w:rPr>
          <w:rFonts w:eastAsia="Times New Roman"/>
          <w:spacing w:val="-5"/>
        </w:rPr>
        <w:t>_____________________________</w:t>
      </w:r>
    </w:p>
    <w:p w14:paraId="58488C58" w14:textId="02B12361" w:rsidR="00172A86" w:rsidRPr="00A627C4" w:rsidRDefault="00C32E90">
      <w:pPr>
        <w:spacing w:line="240" w:lineRule="auto"/>
        <w:jc w:val="right"/>
        <w:rPr>
          <w:rFonts w:eastAsia="Times New Roman"/>
          <w:spacing w:val="-5"/>
        </w:rPr>
      </w:pPr>
      <w:r w:rsidRPr="00A627C4">
        <w:rPr>
          <w:rFonts w:eastAsia="Times New Roman"/>
          <w:spacing w:val="-5"/>
        </w:rPr>
        <w:t xml:space="preserve">                                                                                                            Équipe </w:t>
      </w:r>
      <w:r w:rsidR="005537AA" w:rsidRPr="00A627C4">
        <w:rPr>
          <w:rFonts w:eastAsia="Times New Roman"/>
          <w:spacing w:val="-5"/>
        </w:rPr>
        <w:t>230</w:t>
      </w:r>
      <w:r w:rsidR="00DF14DC" w:rsidRPr="00A627C4">
        <w:rPr>
          <w:rFonts w:eastAsia="Times New Roman"/>
          <w:spacing w:val="-5"/>
        </w:rPr>
        <w:t>-I</w:t>
      </w:r>
      <w:r w:rsidRPr="00A627C4">
        <w:rPr>
          <w:rFonts w:eastAsia="Times New Roman"/>
          <w:color w:val="FF0000"/>
          <w:spacing w:val="-5"/>
        </w:rPr>
        <w:t xml:space="preserve">                                          </w:t>
      </w:r>
      <w:r w:rsidRPr="00A627C4">
        <w:rPr>
          <w:rFonts w:eastAsia="Times New Roman"/>
          <w:color w:val="FF0000"/>
          <w:spacing w:val="-5"/>
        </w:rPr>
        <w:tab/>
      </w:r>
      <w:r w:rsidRPr="00A627C4">
        <w:rPr>
          <w:rFonts w:eastAsia="Times New Roman"/>
          <w:spacing w:val="-5"/>
        </w:rPr>
        <w:t xml:space="preserve">                  </w:t>
      </w:r>
      <w:r w:rsidRPr="00A627C4">
        <w:rPr>
          <w:spacing w:val="-5"/>
        </w:rPr>
        <w:br w:type="page"/>
      </w:r>
    </w:p>
    <w:p w14:paraId="58488C59" w14:textId="77777777" w:rsidR="00172A86" w:rsidRPr="00A627C4" w:rsidRDefault="00C32E90">
      <w:pPr>
        <w:spacing w:after="240"/>
        <w:jc w:val="center"/>
        <w:rPr>
          <w:rFonts w:eastAsia="Times New Roman"/>
          <w:b/>
          <w:spacing w:val="-5"/>
          <w:u w:val="single"/>
        </w:rPr>
      </w:pPr>
      <w:r w:rsidRPr="00A627C4">
        <w:rPr>
          <w:rFonts w:eastAsia="Times New Roman"/>
          <w:b/>
          <w:spacing w:val="-5"/>
          <w:u w:val="single"/>
        </w:rPr>
        <w:t>ANNEXE: LISTE DE LA JURISPRUDENCE</w:t>
      </w:r>
    </w:p>
    <w:p w14:paraId="3DDAC952" w14:textId="72B5FECA" w:rsidR="001A2839" w:rsidRDefault="001A2839" w:rsidP="005913D4">
      <w:pPr>
        <w:rPr>
          <w:rStyle w:val="normaltextrun"/>
          <w:color w:val="000000"/>
          <w:shd w:val="clear" w:color="auto" w:fill="FFFFFF"/>
        </w:rPr>
      </w:pPr>
      <w:r w:rsidRPr="4444ECA3">
        <w:rPr>
          <w:rStyle w:val="normaltextrun"/>
          <w:i/>
          <w:iCs/>
          <w:color w:val="000000"/>
          <w:shd w:val="clear" w:color="auto" w:fill="FFFFFF"/>
        </w:rPr>
        <w:t>A.K.</w:t>
      </w:r>
      <w:r w:rsidR="5BEDA070" w:rsidRPr="4444ECA3">
        <w:rPr>
          <w:rStyle w:val="normaltextrun"/>
          <w:i/>
          <w:iCs/>
          <w:color w:val="000000"/>
          <w:shd w:val="clear" w:color="auto" w:fill="FFFFFF"/>
        </w:rPr>
        <w:t xml:space="preserve"> c</w:t>
      </w:r>
      <w:r>
        <w:rPr>
          <w:rStyle w:val="normaltextrun"/>
          <w:color w:val="000000"/>
          <w:shd w:val="clear" w:color="auto" w:fill="FFFFFF"/>
        </w:rPr>
        <w:t> </w:t>
      </w:r>
      <w:r w:rsidRPr="4444ECA3">
        <w:rPr>
          <w:rStyle w:val="normaltextrun"/>
          <w:i/>
          <w:iCs/>
          <w:color w:val="000000"/>
          <w:shd w:val="clear" w:color="auto" w:fill="FFFFFF"/>
        </w:rPr>
        <w:t>Canada (Ministre de la Citoyenneté et de l’Immigration)</w:t>
      </w:r>
      <w:r>
        <w:rPr>
          <w:rStyle w:val="normaltextrun"/>
          <w:color w:val="000000"/>
          <w:shd w:val="clear" w:color="auto" w:fill="FFFFFF"/>
        </w:rPr>
        <w:t>, 2018 CF 236</w:t>
      </w:r>
    </w:p>
    <w:p w14:paraId="0D6A17D9" w14:textId="77777777" w:rsidR="001A2839" w:rsidRDefault="001A2839" w:rsidP="005913D4">
      <w:pPr>
        <w:rPr>
          <w:rStyle w:val="normaltextrun"/>
          <w:color w:val="000000"/>
          <w:shd w:val="clear" w:color="auto" w:fill="FFFFFF"/>
        </w:rPr>
      </w:pPr>
      <w:r>
        <w:rPr>
          <w:rStyle w:val="normaltextrun"/>
          <w:i/>
          <w:iCs/>
          <w:color w:val="000000"/>
          <w:shd w:val="clear" w:color="auto" w:fill="FFFFFF"/>
        </w:rPr>
        <w:t>Al Yamani c Canada (Ministre de la Citoyenneté et de l’Immigration)</w:t>
      </w:r>
      <w:r>
        <w:rPr>
          <w:rStyle w:val="normaltextrun"/>
          <w:color w:val="000000"/>
          <w:shd w:val="clear" w:color="auto" w:fill="FFFFFF"/>
        </w:rPr>
        <w:t>, 2006 CF 1457</w:t>
      </w:r>
    </w:p>
    <w:p w14:paraId="3A219721" w14:textId="02C0300F" w:rsidR="001A2839" w:rsidRDefault="001A2839" w:rsidP="005913D4">
      <w:pPr>
        <w:rPr>
          <w:rStyle w:val="normaltextrun"/>
          <w:color w:val="000000"/>
          <w:shd w:val="clear" w:color="auto" w:fill="FFFFFF"/>
        </w:rPr>
      </w:pPr>
      <w:r w:rsidRPr="4444ECA3">
        <w:rPr>
          <w:rStyle w:val="normaltextrun"/>
          <w:i/>
          <w:iCs/>
          <w:color w:val="000000"/>
          <w:shd w:val="clear" w:color="auto" w:fill="FFFFFF"/>
        </w:rPr>
        <w:t>Al Yamani</w:t>
      </w:r>
      <w:r w:rsidR="40F13348" w:rsidRPr="4444ECA3">
        <w:rPr>
          <w:rStyle w:val="normaltextrun"/>
          <w:i/>
          <w:iCs/>
          <w:color w:val="000000"/>
          <w:shd w:val="clear" w:color="auto" w:fill="FFFFFF"/>
        </w:rPr>
        <w:t xml:space="preserve"> c</w:t>
      </w:r>
      <w:r>
        <w:rPr>
          <w:rStyle w:val="normaltextrun"/>
          <w:color w:val="000000"/>
          <w:shd w:val="clear" w:color="auto" w:fill="FFFFFF"/>
        </w:rPr>
        <w:t> </w:t>
      </w:r>
      <w:r w:rsidRPr="4444ECA3">
        <w:rPr>
          <w:rStyle w:val="normaltextrun"/>
          <w:i/>
          <w:iCs/>
          <w:color w:val="000000"/>
          <w:shd w:val="clear" w:color="auto" w:fill="FFFFFF"/>
        </w:rPr>
        <w:t>Canada (</w:t>
      </w:r>
      <w:r w:rsidR="00187C4B" w:rsidRPr="4444ECA3">
        <w:rPr>
          <w:rStyle w:val="normaltextrun"/>
          <w:i/>
          <w:iCs/>
          <w:color w:val="000000"/>
          <w:shd w:val="clear" w:color="auto" w:fill="FFFFFF"/>
        </w:rPr>
        <w:t>M</w:t>
      </w:r>
      <w:r w:rsidRPr="4444ECA3">
        <w:rPr>
          <w:rStyle w:val="normaltextrun"/>
          <w:i/>
          <w:iCs/>
          <w:color w:val="000000"/>
          <w:shd w:val="clear" w:color="auto" w:fill="FFFFFF"/>
        </w:rPr>
        <w:t xml:space="preserve">inistre de la citoyenneté et de l’immigration), </w:t>
      </w:r>
      <w:r>
        <w:rPr>
          <w:rStyle w:val="normaltextrun"/>
          <w:color w:val="000000"/>
          <w:shd w:val="clear" w:color="auto" w:fill="FFFFFF"/>
        </w:rPr>
        <w:t>[2000] 3 C.F. 433</w:t>
      </w:r>
    </w:p>
    <w:p w14:paraId="35AFA8C7" w14:textId="4AF9B49D" w:rsidR="001A2839" w:rsidRDefault="001A2839" w:rsidP="005913D4">
      <w:pPr>
        <w:rPr>
          <w:rStyle w:val="normaltextrun"/>
          <w:color w:val="000000"/>
          <w:shd w:val="clear" w:color="auto" w:fill="FFFFFF"/>
        </w:rPr>
      </w:pPr>
      <w:r w:rsidRPr="4444ECA3">
        <w:rPr>
          <w:rStyle w:val="normaltextrun"/>
          <w:i/>
          <w:iCs/>
          <w:color w:val="000000"/>
          <w:shd w:val="clear" w:color="auto" w:fill="FFFFFF"/>
        </w:rPr>
        <w:t>B006</w:t>
      </w:r>
      <w:r w:rsidR="00096F77" w:rsidRPr="4444ECA3">
        <w:rPr>
          <w:rStyle w:val="normaltextrun"/>
          <w:i/>
          <w:iCs/>
          <w:color w:val="000000"/>
          <w:shd w:val="clear" w:color="auto" w:fill="FFFFFF"/>
        </w:rPr>
        <w:t xml:space="preserve"> c</w:t>
      </w:r>
      <w:r>
        <w:rPr>
          <w:rStyle w:val="normaltextrun"/>
          <w:color w:val="000000"/>
          <w:shd w:val="clear" w:color="auto" w:fill="FFFFFF"/>
        </w:rPr>
        <w:t> </w:t>
      </w:r>
      <w:r w:rsidRPr="4444ECA3">
        <w:rPr>
          <w:rStyle w:val="normaltextrun"/>
          <w:i/>
          <w:iCs/>
          <w:color w:val="000000"/>
          <w:shd w:val="clear" w:color="auto" w:fill="FFFFFF"/>
        </w:rPr>
        <w:t>Canada (Citoyenneté et Immigration),</w:t>
      </w:r>
      <w:r>
        <w:rPr>
          <w:rStyle w:val="normaltextrun"/>
          <w:color w:val="000000"/>
          <w:shd w:val="clear" w:color="auto" w:fill="FFFFFF"/>
        </w:rPr>
        <w:t> 2013 CF 1033 </w:t>
      </w:r>
    </w:p>
    <w:p w14:paraId="2EEAA154" w14:textId="03093673" w:rsidR="001A2839" w:rsidRDefault="001A2839" w:rsidP="005913D4">
      <w:pPr>
        <w:rPr>
          <w:rStyle w:val="normaltextrun"/>
          <w:color w:val="000000"/>
          <w:shd w:val="clear" w:color="auto" w:fill="FFFFFF"/>
        </w:rPr>
      </w:pPr>
      <w:r w:rsidRPr="4444ECA3">
        <w:rPr>
          <w:rStyle w:val="normaltextrun"/>
          <w:i/>
          <w:iCs/>
          <w:color w:val="000000"/>
          <w:shd w:val="clear" w:color="auto" w:fill="FFFFFF"/>
        </w:rPr>
        <w:t>B010</w:t>
      </w:r>
      <w:r w:rsidR="3E47AD15" w:rsidRPr="4444ECA3">
        <w:rPr>
          <w:rStyle w:val="normaltextrun"/>
          <w:i/>
          <w:iCs/>
          <w:color w:val="000000"/>
          <w:shd w:val="clear" w:color="auto" w:fill="FFFFFF"/>
        </w:rPr>
        <w:t xml:space="preserve"> c</w:t>
      </w:r>
      <w:r>
        <w:rPr>
          <w:rStyle w:val="normaltextrun"/>
          <w:color w:val="000000"/>
          <w:shd w:val="clear" w:color="auto" w:fill="FFFFFF"/>
        </w:rPr>
        <w:t> </w:t>
      </w:r>
      <w:r w:rsidRPr="4444ECA3">
        <w:rPr>
          <w:rStyle w:val="normaltextrun"/>
          <w:i/>
          <w:iCs/>
          <w:color w:val="000000"/>
          <w:shd w:val="clear" w:color="auto" w:fill="FFFFFF"/>
        </w:rPr>
        <w:t>Canada (Citoyenneté et Immigration</w:t>
      </w:r>
      <w:r>
        <w:rPr>
          <w:rStyle w:val="normaltextrun"/>
          <w:color w:val="000000"/>
          <w:shd w:val="clear" w:color="auto" w:fill="FFFFFF"/>
        </w:rPr>
        <w:t>), 2015 CSC 58</w:t>
      </w:r>
    </w:p>
    <w:p w14:paraId="7A3BCE7B" w14:textId="6BBCE22C" w:rsidR="001A2839" w:rsidRDefault="001A2839" w:rsidP="005913D4">
      <w:pPr>
        <w:rPr>
          <w:rStyle w:val="normaltextrun"/>
          <w:color w:val="000000"/>
          <w:shd w:val="clear" w:color="auto" w:fill="FFFFFF"/>
        </w:rPr>
      </w:pPr>
      <w:r w:rsidRPr="4444ECA3">
        <w:rPr>
          <w:rStyle w:val="normaltextrun"/>
          <w:i/>
          <w:iCs/>
          <w:color w:val="000000"/>
          <w:shd w:val="clear" w:color="auto" w:fill="FFFFFF"/>
        </w:rPr>
        <w:t>Baker</w:t>
      </w:r>
      <w:r w:rsidR="0A23411C" w:rsidRPr="4444ECA3">
        <w:rPr>
          <w:rStyle w:val="normaltextrun"/>
          <w:i/>
          <w:iCs/>
          <w:color w:val="000000"/>
          <w:shd w:val="clear" w:color="auto" w:fill="FFFFFF"/>
        </w:rPr>
        <w:t xml:space="preserve"> c</w:t>
      </w:r>
      <w:r>
        <w:rPr>
          <w:rStyle w:val="normaltextrun"/>
          <w:color w:val="000000"/>
          <w:shd w:val="clear" w:color="auto" w:fill="FFFFFF"/>
        </w:rPr>
        <w:t> </w:t>
      </w:r>
      <w:r w:rsidRPr="4444ECA3">
        <w:rPr>
          <w:rStyle w:val="normaltextrun"/>
          <w:i/>
          <w:iCs/>
          <w:color w:val="000000"/>
          <w:shd w:val="clear" w:color="auto" w:fill="FFFFFF"/>
        </w:rPr>
        <w:t>Canada (Ministre de la Citoyenneté et de l’immigration)</w:t>
      </w:r>
      <w:r>
        <w:rPr>
          <w:rStyle w:val="normaltextrun"/>
          <w:color w:val="000000"/>
          <w:shd w:val="clear" w:color="auto" w:fill="FFFFFF"/>
        </w:rPr>
        <w:t>, 1999 2 RCS 817 </w:t>
      </w:r>
    </w:p>
    <w:p w14:paraId="636D4303" w14:textId="77777777" w:rsidR="001A2839" w:rsidRDefault="001A2839" w:rsidP="005913D4">
      <w:pPr>
        <w:rPr>
          <w:rStyle w:val="normaltextrun"/>
          <w:color w:val="000000"/>
          <w:shd w:val="clear" w:color="auto" w:fill="FFFFFF"/>
          <w:lang w:val="en-CA"/>
        </w:rPr>
      </w:pPr>
      <w:r w:rsidRPr="00C83286">
        <w:rPr>
          <w:rStyle w:val="normaltextrun"/>
          <w:i/>
          <w:iCs/>
          <w:color w:val="000000"/>
          <w:shd w:val="clear" w:color="auto" w:fill="FFFFFF"/>
          <w:lang w:val="en-CA"/>
        </w:rPr>
        <w:t>Bell Express Vu Limited Partnership c Rex</w:t>
      </w:r>
      <w:r w:rsidRPr="00C83286">
        <w:rPr>
          <w:rStyle w:val="normaltextrun"/>
          <w:color w:val="000000"/>
          <w:shd w:val="clear" w:color="auto" w:fill="FFFFFF"/>
          <w:lang w:val="en-CA"/>
        </w:rPr>
        <w:t>, 2002 CSC 42</w:t>
      </w:r>
    </w:p>
    <w:p w14:paraId="71B0AD84" w14:textId="1EDC97C9" w:rsidR="001A2839" w:rsidRPr="001B50F1" w:rsidRDefault="001A2839" w:rsidP="005913D4">
      <w:pPr>
        <w:rPr>
          <w:rStyle w:val="normaltextrun"/>
          <w:color w:val="000000"/>
          <w:shd w:val="clear" w:color="auto" w:fill="FFFFFF"/>
        </w:rPr>
      </w:pPr>
      <w:r w:rsidRPr="4444ECA3">
        <w:rPr>
          <w:rStyle w:val="normaltextrun"/>
          <w:i/>
          <w:iCs/>
          <w:color w:val="000000"/>
          <w:shd w:val="clear" w:color="auto" w:fill="FFFFFF"/>
        </w:rPr>
        <w:t>Canada (Ministre de la Sécurité publique et de la Protection civile)</w:t>
      </w:r>
      <w:r w:rsidR="20F40027" w:rsidRPr="4444ECA3">
        <w:rPr>
          <w:rStyle w:val="normaltextrun"/>
          <w:i/>
          <w:iCs/>
          <w:color w:val="000000"/>
          <w:shd w:val="clear" w:color="auto" w:fill="FFFFFF"/>
        </w:rPr>
        <w:t xml:space="preserve"> c</w:t>
      </w:r>
      <w:r w:rsidRPr="4444ECA3">
        <w:rPr>
          <w:rStyle w:val="normaltextrun"/>
          <w:i/>
          <w:iCs/>
          <w:color w:val="000000"/>
          <w:shd w:val="clear" w:color="auto" w:fill="FFFFFF"/>
        </w:rPr>
        <w:t xml:space="preserve"> Lopez Gaytan</w:t>
      </w:r>
      <w:r>
        <w:rPr>
          <w:rStyle w:val="normaltextrun"/>
          <w:color w:val="000000"/>
          <w:shd w:val="clear" w:color="auto" w:fill="FFFFFF"/>
        </w:rPr>
        <w:t>, 2019 CF 1152</w:t>
      </w:r>
    </w:p>
    <w:p w14:paraId="21FDA295" w14:textId="324958B7" w:rsidR="001A2839" w:rsidRDefault="001A2839" w:rsidP="005913D4">
      <w:pPr>
        <w:rPr>
          <w:rStyle w:val="normaltextrun"/>
          <w:color w:val="000000"/>
          <w:shd w:val="clear" w:color="auto" w:fill="FFFFFF"/>
        </w:rPr>
      </w:pPr>
      <w:r w:rsidRPr="4444ECA3">
        <w:rPr>
          <w:rStyle w:val="normaltextrun"/>
          <w:i/>
          <w:iCs/>
          <w:color w:val="000000"/>
          <w:shd w:val="clear" w:color="auto" w:fill="FFFFFF"/>
        </w:rPr>
        <w:t>Chiau</w:t>
      </w:r>
      <w:r w:rsidR="07ED3D78" w:rsidRPr="4444ECA3">
        <w:rPr>
          <w:rStyle w:val="normaltextrun"/>
          <w:i/>
          <w:iCs/>
          <w:color w:val="000000"/>
          <w:shd w:val="clear" w:color="auto" w:fill="FFFFFF"/>
        </w:rPr>
        <w:t xml:space="preserve"> c </w:t>
      </w:r>
      <w:r w:rsidRPr="4444ECA3">
        <w:rPr>
          <w:rStyle w:val="normaltextrun"/>
          <w:i/>
          <w:iCs/>
          <w:color w:val="000000"/>
          <w:shd w:val="clear" w:color="auto" w:fill="FFFFFF"/>
        </w:rPr>
        <w:t>Canada (Ministre de la Citoyenneté et de l'Immigration)</w:t>
      </w:r>
      <w:r>
        <w:rPr>
          <w:rStyle w:val="normaltextrun"/>
          <w:color w:val="000000"/>
          <w:shd w:val="clear" w:color="auto" w:fill="FFFFFF"/>
        </w:rPr>
        <w:t>, [2001] 2 CF 297</w:t>
      </w:r>
    </w:p>
    <w:p w14:paraId="1A52EAE6" w14:textId="75F18FC5" w:rsidR="001A2839" w:rsidRDefault="001A2839" w:rsidP="005913D4">
      <w:pPr>
        <w:rPr>
          <w:rStyle w:val="normaltextrun"/>
          <w:color w:val="000000"/>
          <w:shd w:val="clear" w:color="auto" w:fill="FFFFFF"/>
        </w:rPr>
      </w:pPr>
      <w:r w:rsidRPr="1B16CE9B">
        <w:rPr>
          <w:rStyle w:val="normaltextrun"/>
          <w:i/>
          <w:iCs/>
          <w:color w:val="000000"/>
          <w:shd w:val="clear" w:color="auto" w:fill="FFFFFF"/>
        </w:rPr>
        <w:t>Chowdhury</w:t>
      </w:r>
      <w:r w:rsidR="38115B75" w:rsidRPr="1B16CE9B">
        <w:rPr>
          <w:rStyle w:val="normaltextrun"/>
          <w:i/>
          <w:iCs/>
          <w:color w:val="000000"/>
          <w:shd w:val="clear" w:color="auto" w:fill="FFFFFF"/>
        </w:rPr>
        <w:t xml:space="preserve"> c</w:t>
      </w:r>
      <w:r>
        <w:rPr>
          <w:rStyle w:val="normaltextrun"/>
          <w:color w:val="000000"/>
          <w:shd w:val="clear" w:color="auto" w:fill="FFFFFF"/>
        </w:rPr>
        <w:t> </w:t>
      </w:r>
      <w:r w:rsidRPr="1B16CE9B">
        <w:rPr>
          <w:rStyle w:val="normaltextrun"/>
          <w:i/>
          <w:iCs/>
          <w:color w:val="000000"/>
          <w:shd w:val="clear" w:color="auto" w:fill="FFFFFF"/>
        </w:rPr>
        <w:t>Canada (Ministre de la Citoyenneté et de l’Immigration),</w:t>
      </w:r>
      <w:r>
        <w:rPr>
          <w:rStyle w:val="normaltextrun"/>
          <w:color w:val="000000"/>
          <w:shd w:val="clear" w:color="auto" w:fill="FFFFFF"/>
        </w:rPr>
        <w:t> 2020 CF 1987</w:t>
      </w:r>
    </w:p>
    <w:p w14:paraId="7A0A38F1" w14:textId="16F3F4EF" w:rsidR="001A2839" w:rsidRDefault="001A2839" w:rsidP="005913D4">
      <w:pPr>
        <w:rPr>
          <w:rStyle w:val="normaltextrun"/>
          <w:color w:val="000000"/>
          <w:shd w:val="clear" w:color="auto" w:fill="FFFFFF"/>
        </w:rPr>
      </w:pPr>
      <w:r w:rsidRPr="1B16CE9B">
        <w:rPr>
          <w:rStyle w:val="normaltextrun"/>
          <w:i/>
          <w:iCs/>
          <w:color w:val="000000"/>
          <w:shd w:val="clear" w:color="auto" w:fill="FFFFFF"/>
        </w:rPr>
        <w:t>Damir</w:t>
      </w:r>
      <w:r w:rsidR="1F32D65E" w:rsidRPr="1B16CE9B">
        <w:rPr>
          <w:rStyle w:val="normaltextrun"/>
          <w:i/>
          <w:iCs/>
          <w:color w:val="000000"/>
          <w:shd w:val="clear" w:color="auto" w:fill="FFFFFF"/>
        </w:rPr>
        <w:t xml:space="preserve"> c </w:t>
      </w:r>
      <w:r w:rsidRPr="1B16CE9B">
        <w:rPr>
          <w:rStyle w:val="normaltextrun"/>
          <w:i/>
          <w:iCs/>
          <w:color w:val="000000"/>
          <w:shd w:val="clear" w:color="auto" w:fill="FFFFFF"/>
        </w:rPr>
        <w:t>Canada (Citoyenneté et Immigration)</w:t>
      </w:r>
      <w:r>
        <w:rPr>
          <w:rStyle w:val="normaltextrun"/>
          <w:color w:val="000000"/>
          <w:shd w:val="clear" w:color="auto" w:fill="FFFFFF"/>
        </w:rPr>
        <w:t>, 2018 CF 48</w:t>
      </w:r>
    </w:p>
    <w:p w14:paraId="75376903" w14:textId="72D30875" w:rsidR="001A2839" w:rsidRDefault="001A2839" w:rsidP="005913D4">
      <w:pPr>
        <w:rPr>
          <w:rStyle w:val="normaltextrun"/>
          <w:color w:val="000000"/>
          <w:shd w:val="clear" w:color="auto" w:fill="FFFFFF"/>
        </w:rPr>
      </w:pPr>
      <w:r w:rsidRPr="1B16CE9B">
        <w:rPr>
          <w:rStyle w:val="normaltextrun"/>
          <w:i/>
          <w:iCs/>
          <w:color w:val="000000"/>
          <w:shd w:val="clear" w:color="auto" w:fill="FFFFFF"/>
        </w:rPr>
        <w:t>El Werfalli</w:t>
      </w:r>
      <w:r w:rsidR="7476C112" w:rsidRPr="1B16CE9B">
        <w:rPr>
          <w:rStyle w:val="normaltextrun"/>
          <w:i/>
          <w:iCs/>
          <w:color w:val="000000"/>
          <w:shd w:val="clear" w:color="auto" w:fill="FFFFFF"/>
        </w:rPr>
        <w:t xml:space="preserve"> c</w:t>
      </w:r>
      <w:r>
        <w:rPr>
          <w:rStyle w:val="normaltextrun"/>
          <w:color w:val="000000"/>
          <w:shd w:val="clear" w:color="auto" w:fill="FFFFFF"/>
        </w:rPr>
        <w:t> </w:t>
      </w:r>
      <w:r w:rsidRPr="1B16CE9B">
        <w:rPr>
          <w:rStyle w:val="normaltextrun"/>
          <w:i/>
          <w:iCs/>
          <w:color w:val="000000"/>
          <w:shd w:val="clear" w:color="auto" w:fill="FFFFFF"/>
        </w:rPr>
        <w:t>Canada (Sécurité publique et Protection civile)</w:t>
      </w:r>
      <w:r>
        <w:rPr>
          <w:rStyle w:val="normaltextrun"/>
          <w:color w:val="000000"/>
          <w:shd w:val="clear" w:color="auto" w:fill="FFFFFF"/>
        </w:rPr>
        <w:t>, 2013 CF 612</w:t>
      </w:r>
    </w:p>
    <w:p w14:paraId="69C494D8" w14:textId="77777777" w:rsidR="001A2839" w:rsidRDefault="001A2839" w:rsidP="005913D4">
      <w:pPr>
        <w:rPr>
          <w:rStyle w:val="normaltextrun"/>
          <w:color w:val="000000"/>
          <w:shd w:val="clear" w:color="auto" w:fill="FFFFFF"/>
        </w:rPr>
      </w:pPr>
      <w:r>
        <w:rPr>
          <w:rStyle w:val="normaltextrun"/>
          <w:i/>
          <w:iCs/>
          <w:color w:val="000000"/>
          <w:shd w:val="clear" w:color="auto" w:fill="FFFFFF"/>
        </w:rPr>
        <w:t>Eyakwe c Canada (Citoyenneté et Immigration)</w:t>
      </w:r>
      <w:r>
        <w:rPr>
          <w:rStyle w:val="normaltextrun"/>
          <w:color w:val="000000"/>
          <w:shd w:val="clear" w:color="auto" w:fill="FFFFFF"/>
        </w:rPr>
        <w:t>, 2011 CF 409 </w:t>
      </w:r>
    </w:p>
    <w:p w14:paraId="358F0CF1" w14:textId="51F51E2C" w:rsidR="001A2839" w:rsidRDefault="001A2839" w:rsidP="005913D4">
      <w:pPr>
        <w:rPr>
          <w:rStyle w:val="normaltextrun"/>
          <w:color w:val="000000"/>
          <w:shd w:val="clear" w:color="auto" w:fill="FFFFFF"/>
        </w:rPr>
      </w:pPr>
      <w:r w:rsidRPr="1B16CE9B">
        <w:rPr>
          <w:rStyle w:val="normaltextrun"/>
          <w:i/>
          <w:iCs/>
          <w:color w:val="000000"/>
          <w:shd w:val="clear" w:color="auto" w:fill="FFFFFF"/>
        </w:rPr>
        <w:t>Ezokola</w:t>
      </w:r>
      <w:r w:rsidR="4CF16248" w:rsidRPr="1B16CE9B">
        <w:rPr>
          <w:rStyle w:val="normaltextrun"/>
          <w:i/>
          <w:iCs/>
          <w:color w:val="000000"/>
          <w:shd w:val="clear" w:color="auto" w:fill="FFFFFF"/>
        </w:rPr>
        <w:t xml:space="preserve"> c</w:t>
      </w:r>
      <w:r>
        <w:rPr>
          <w:rStyle w:val="normaltextrun"/>
          <w:color w:val="000000"/>
          <w:shd w:val="clear" w:color="auto" w:fill="FFFFFF"/>
        </w:rPr>
        <w:t> </w:t>
      </w:r>
      <w:r w:rsidRPr="1B16CE9B">
        <w:rPr>
          <w:rStyle w:val="normaltextrun"/>
          <w:i/>
          <w:iCs/>
          <w:color w:val="000000"/>
          <w:shd w:val="clear" w:color="auto" w:fill="FFFFFF"/>
        </w:rPr>
        <w:t>Canada (Citoyenneté et Immigration)</w:t>
      </w:r>
      <w:r>
        <w:rPr>
          <w:rStyle w:val="normaltextrun"/>
          <w:color w:val="000000"/>
          <w:shd w:val="clear" w:color="auto" w:fill="FFFFFF"/>
        </w:rPr>
        <w:t>, 2013 CSC 40</w:t>
      </w:r>
    </w:p>
    <w:p w14:paraId="4BF057A9" w14:textId="6B6986E8" w:rsidR="001A2839" w:rsidRDefault="001A2839" w:rsidP="005913D4">
      <w:pPr>
        <w:rPr>
          <w:rStyle w:val="normaltextrun"/>
          <w:color w:val="000000"/>
          <w:shd w:val="clear" w:color="auto" w:fill="FFFFFF"/>
        </w:rPr>
      </w:pPr>
      <w:r w:rsidRPr="1B16CE9B">
        <w:rPr>
          <w:rStyle w:val="normaltextrun"/>
          <w:i/>
          <w:iCs/>
          <w:color w:val="000000"/>
          <w:shd w:val="clear" w:color="auto" w:fill="FFFFFF"/>
        </w:rPr>
        <w:t>Febles </w:t>
      </w:r>
      <w:r w:rsidR="3B10F27D" w:rsidRPr="1B16CE9B">
        <w:rPr>
          <w:rStyle w:val="normaltextrun"/>
          <w:i/>
          <w:iCs/>
          <w:color w:val="000000"/>
          <w:shd w:val="clear" w:color="auto" w:fill="FFFFFF"/>
        </w:rPr>
        <w:t>c</w:t>
      </w:r>
      <w:r>
        <w:rPr>
          <w:rStyle w:val="normaltextrun"/>
          <w:color w:val="000000"/>
          <w:shd w:val="clear" w:color="auto" w:fill="FFFFFF"/>
        </w:rPr>
        <w:t> </w:t>
      </w:r>
      <w:r w:rsidRPr="1B16CE9B">
        <w:rPr>
          <w:rStyle w:val="normaltextrun"/>
          <w:i/>
          <w:iCs/>
          <w:color w:val="000000"/>
          <w:shd w:val="clear" w:color="auto" w:fill="FFFFFF"/>
        </w:rPr>
        <w:t>Canada (Citoyenneté et Immigration), </w:t>
      </w:r>
      <w:r>
        <w:rPr>
          <w:rStyle w:val="normaltextrun"/>
          <w:color w:val="000000"/>
          <w:shd w:val="clear" w:color="auto" w:fill="FFFFFF"/>
        </w:rPr>
        <w:t>2014 CSC 68</w:t>
      </w:r>
    </w:p>
    <w:p w14:paraId="5E5FCDA0" w14:textId="4BF400F6" w:rsidR="001A2839" w:rsidRDefault="001A2839" w:rsidP="005913D4">
      <w:pPr>
        <w:rPr>
          <w:rStyle w:val="normaltextrun"/>
          <w:color w:val="000000"/>
          <w:shd w:val="clear" w:color="auto" w:fill="FFFFFF"/>
        </w:rPr>
      </w:pPr>
      <w:r w:rsidRPr="1B16CE9B">
        <w:rPr>
          <w:rStyle w:val="normaltextrun"/>
          <w:i/>
          <w:iCs/>
          <w:color w:val="000000"/>
          <w:shd w:val="clear" w:color="auto" w:fill="FFFFFF"/>
        </w:rPr>
        <w:t>Gacho</w:t>
      </w:r>
      <w:r w:rsidR="244D1E96" w:rsidRPr="1B16CE9B">
        <w:rPr>
          <w:rStyle w:val="normaltextrun"/>
          <w:i/>
          <w:iCs/>
          <w:color w:val="000000"/>
          <w:shd w:val="clear" w:color="auto" w:fill="FFFFFF"/>
        </w:rPr>
        <w:t xml:space="preserve"> c</w:t>
      </w:r>
      <w:r>
        <w:rPr>
          <w:rStyle w:val="normaltextrun"/>
          <w:color w:val="000000"/>
          <w:shd w:val="clear" w:color="auto" w:fill="FFFFFF"/>
        </w:rPr>
        <w:t> </w:t>
      </w:r>
      <w:r w:rsidRPr="1B16CE9B">
        <w:rPr>
          <w:rStyle w:val="normaltextrun"/>
          <w:i/>
          <w:iCs/>
          <w:color w:val="000000"/>
          <w:shd w:val="clear" w:color="auto" w:fill="FFFFFF"/>
        </w:rPr>
        <w:t>Canada (Citoyenneté et Immigration)</w:t>
      </w:r>
      <w:r>
        <w:rPr>
          <w:rStyle w:val="normaltextrun"/>
          <w:color w:val="000000"/>
          <w:shd w:val="clear" w:color="auto" w:fill="FFFFFF"/>
        </w:rPr>
        <w:t>, 2016 CF 794</w:t>
      </w:r>
    </w:p>
    <w:p w14:paraId="1C606E29" w14:textId="6EC81FBE" w:rsidR="001A2839" w:rsidRDefault="001A2839" w:rsidP="005913D4">
      <w:pPr>
        <w:rPr>
          <w:rStyle w:val="normaltextrun"/>
          <w:color w:val="000000"/>
          <w:shd w:val="clear" w:color="auto" w:fill="FFFFFF"/>
        </w:rPr>
      </w:pPr>
      <w:r w:rsidRPr="1B16CE9B">
        <w:rPr>
          <w:rStyle w:val="normaltextrun"/>
          <w:i/>
          <w:iCs/>
          <w:color w:val="000000"/>
          <w:shd w:val="clear" w:color="auto" w:fill="FFFFFF"/>
        </w:rPr>
        <w:t>Islam</w:t>
      </w:r>
      <w:r w:rsidR="3495D0CB" w:rsidRPr="1B16CE9B">
        <w:rPr>
          <w:rStyle w:val="normaltextrun"/>
          <w:i/>
          <w:iCs/>
          <w:color w:val="000000"/>
          <w:shd w:val="clear" w:color="auto" w:fill="FFFFFF"/>
        </w:rPr>
        <w:t xml:space="preserve"> c</w:t>
      </w:r>
      <w:r>
        <w:rPr>
          <w:rStyle w:val="normaltextrun"/>
          <w:color w:val="000000"/>
          <w:shd w:val="clear" w:color="auto" w:fill="FFFFFF"/>
        </w:rPr>
        <w:t> </w:t>
      </w:r>
      <w:r w:rsidRPr="1B16CE9B">
        <w:rPr>
          <w:rStyle w:val="normaltextrun"/>
          <w:i/>
          <w:iCs/>
          <w:color w:val="000000"/>
          <w:shd w:val="clear" w:color="auto" w:fill="FFFFFF"/>
        </w:rPr>
        <w:t>Canada (Sécurité publique et Protection civile),</w:t>
      </w:r>
      <w:r>
        <w:rPr>
          <w:rStyle w:val="normaltextrun"/>
          <w:color w:val="000000"/>
          <w:shd w:val="clear" w:color="auto" w:fill="FFFFFF"/>
        </w:rPr>
        <w:t> 2021 CF 108</w:t>
      </w:r>
    </w:p>
    <w:p w14:paraId="3A6ED81D" w14:textId="7EECA249" w:rsidR="001A2839" w:rsidRDefault="001A2839" w:rsidP="005913D4">
      <w:pPr>
        <w:rPr>
          <w:rStyle w:val="normaltextrun"/>
          <w:color w:val="000000"/>
          <w:shd w:val="clear" w:color="auto" w:fill="FFFFFF"/>
        </w:rPr>
      </w:pPr>
      <w:r w:rsidRPr="1B16CE9B">
        <w:rPr>
          <w:rStyle w:val="normaltextrun"/>
          <w:i/>
          <w:iCs/>
          <w:color w:val="000000"/>
          <w:shd w:val="clear" w:color="auto" w:fill="FFFFFF"/>
        </w:rPr>
        <w:t>Jalloh</w:t>
      </w:r>
      <w:r w:rsidR="27F2821A" w:rsidRPr="1B16CE9B">
        <w:rPr>
          <w:rStyle w:val="normaltextrun"/>
          <w:i/>
          <w:iCs/>
          <w:color w:val="000000"/>
          <w:shd w:val="clear" w:color="auto" w:fill="FFFFFF"/>
        </w:rPr>
        <w:t xml:space="preserve"> c</w:t>
      </w:r>
      <w:r w:rsidRPr="1B16CE9B">
        <w:rPr>
          <w:rStyle w:val="normaltextrun"/>
          <w:i/>
          <w:iCs/>
          <w:color w:val="000000"/>
          <w:shd w:val="clear" w:color="auto" w:fill="FFFFFF"/>
        </w:rPr>
        <w:t> Canada (Ministre de la Sécurité publique et de la Protection civile) </w:t>
      </w:r>
      <w:r>
        <w:rPr>
          <w:rStyle w:val="normaltextrun"/>
          <w:color w:val="000000"/>
          <w:shd w:val="clear" w:color="auto" w:fill="FFFFFF"/>
        </w:rPr>
        <w:t>2012 CF 317</w:t>
      </w:r>
    </w:p>
    <w:p w14:paraId="4965935F" w14:textId="2F2EDB5D" w:rsidR="001A2839" w:rsidRDefault="001A2839" w:rsidP="005913D4">
      <w:pPr>
        <w:rPr>
          <w:rStyle w:val="normaltextrun"/>
          <w:color w:val="000000"/>
          <w:shd w:val="clear" w:color="auto" w:fill="FFFFFF"/>
        </w:rPr>
      </w:pPr>
      <w:r w:rsidRPr="1B16CE9B">
        <w:rPr>
          <w:rStyle w:val="normaltextrun"/>
          <w:i/>
          <w:iCs/>
          <w:color w:val="000000"/>
          <w:shd w:val="clear" w:color="auto" w:fill="FFFFFF"/>
        </w:rPr>
        <w:t>Kanagendren</w:t>
      </w:r>
      <w:r w:rsidR="458844D4" w:rsidRPr="1B16CE9B">
        <w:rPr>
          <w:rStyle w:val="normaltextrun"/>
          <w:i/>
          <w:iCs/>
          <w:color w:val="000000"/>
          <w:shd w:val="clear" w:color="auto" w:fill="FFFFFF"/>
        </w:rPr>
        <w:t xml:space="preserve"> c </w:t>
      </w:r>
      <w:r w:rsidRPr="1B16CE9B">
        <w:rPr>
          <w:rStyle w:val="normaltextrun"/>
          <w:i/>
          <w:iCs/>
          <w:color w:val="000000"/>
          <w:shd w:val="clear" w:color="auto" w:fill="FFFFFF"/>
        </w:rPr>
        <w:t>Canada (Citoyenneté et Immigration)</w:t>
      </w:r>
      <w:r>
        <w:rPr>
          <w:rStyle w:val="normaltextrun"/>
          <w:color w:val="000000"/>
          <w:shd w:val="clear" w:color="auto" w:fill="FFFFFF"/>
        </w:rPr>
        <w:t>, 2015 CAF 86</w:t>
      </w:r>
    </w:p>
    <w:p w14:paraId="58D37E40" w14:textId="444EB0F5" w:rsidR="001A2839" w:rsidRDefault="001A2839" w:rsidP="005913D4">
      <w:pPr>
        <w:rPr>
          <w:rStyle w:val="normaltextrun"/>
          <w:color w:val="000000"/>
          <w:shd w:val="clear" w:color="auto" w:fill="FFFFFF"/>
        </w:rPr>
      </w:pPr>
      <w:r w:rsidRPr="1B16CE9B">
        <w:rPr>
          <w:rStyle w:val="normaltextrun"/>
          <w:i/>
          <w:iCs/>
          <w:color w:val="000000"/>
          <w:shd w:val="clear" w:color="auto" w:fill="FFFFFF"/>
        </w:rPr>
        <w:t>Krishnamoorthy</w:t>
      </w:r>
      <w:r w:rsidR="699E11D0" w:rsidRPr="1B16CE9B">
        <w:rPr>
          <w:rStyle w:val="normaltextrun"/>
          <w:i/>
          <w:iCs/>
          <w:color w:val="000000"/>
          <w:shd w:val="clear" w:color="auto" w:fill="FFFFFF"/>
        </w:rPr>
        <w:t xml:space="preserve"> c</w:t>
      </w:r>
      <w:r>
        <w:rPr>
          <w:rStyle w:val="normaltextrun"/>
          <w:color w:val="000000"/>
          <w:shd w:val="clear" w:color="auto" w:fill="FFFFFF"/>
        </w:rPr>
        <w:t> </w:t>
      </w:r>
      <w:r w:rsidRPr="1B16CE9B">
        <w:rPr>
          <w:rStyle w:val="normaltextrun"/>
          <w:i/>
          <w:iCs/>
          <w:color w:val="000000"/>
          <w:shd w:val="clear" w:color="auto" w:fill="FFFFFF"/>
        </w:rPr>
        <w:t>Canada (Citoyenneté et Immigration), </w:t>
      </w:r>
      <w:r>
        <w:rPr>
          <w:rStyle w:val="normaltextrun"/>
          <w:color w:val="000000"/>
          <w:shd w:val="clear" w:color="auto" w:fill="FFFFFF"/>
        </w:rPr>
        <w:t>2011 CF 1341</w:t>
      </w:r>
    </w:p>
    <w:p w14:paraId="449F35D1" w14:textId="5131EA80" w:rsidR="001A2839" w:rsidRDefault="001A2839" w:rsidP="005913D4">
      <w:pPr>
        <w:rPr>
          <w:rStyle w:val="normaltextrun"/>
          <w:color w:val="000000"/>
          <w:shd w:val="clear" w:color="auto" w:fill="FFFFFF"/>
        </w:rPr>
      </w:pPr>
      <w:r w:rsidRPr="3ED1510B">
        <w:rPr>
          <w:rStyle w:val="normaltextrun"/>
          <w:i/>
          <w:iCs/>
          <w:color w:val="000000"/>
          <w:shd w:val="clear" w:color="auto" w:fill="FFFFFF"/>
        </w:rPr>
        <w:t>Maleki</w:t>
      </w:r>
      <w:r w:rsidR="4CDC7A70" w:rsidRPr="3ED1510B">
        <w:rPr>
          <w:rStyle w:val="normaltextrun"/>
          <w:i/>
          <w:iCs/>
          <w:color w:val="000000"/>
          <w:shd w:val="clear" w:color="auto" w:fill="FFFFFF"/>
        </w:rPr>
        <w:t xml:space="preserve"> c</w:t>
      </w:r>
      <w:r w:rsidRPr="3ED1510B">
        <w:rPr>
          <w:rStyle w:val="normaltextrun"/>
          <w:i/>
          <w:iCs/>
          <w:color w:val="000000"/>
          <w:shd w:val="clear" w:color="auto" w:fill="FFFFFF"/>
        </w:rPr>
        <w:t xml:space="preserve"> Canada (Ministre de la Citoyenneté et de l’Immigration), </w:t>
      </w:r>
      <w:r>
        <w:rPr>
          <w:rStyle w:val="normaltextrun"/>
          <w:color w:val="000000"/>
          <w:shd w:val="clear" w:color="auto" w:fill="FFFFFF"/>
        </w:rPr>
        <w:t>2012 CF 131</w:t>
      </w:r>
    </w:p>
    <w:p w14:paraId="2AE0613A" w14:textId="77777777" w:rsidR="001A2839" w:rsidRDefault="001A2839" w:rsidP="005913D4">
      <w:pPr>
        <w:rPr>
          <w:rStyle w:val="normaltextrun"/>
          <w:color w:val="000000"/>
          <w:shd w:val="clear" w:color="auto" w:fill="FFFFFF"/>
        </w:rPr>
      </w:pPr>
      <w:r>
        <w:rPr>
          <w:rStyle w:val="normaltextrun"/>
          <w:i/>
          <w:iCs/>
          <w:color w:val="000000"/>
          <w:shd w:val="clear" w:color="auto" w:fill="FFFFFF"/>
        </w:rPr>
        <w:t>Maqsudi c Canada (Ministre de la Citoyenneté et de l'Immigration)</w:t>
      </w:r>
      <w:r>
        <w:rPr>
          <w:rStyle w:val="normaltextrun"/>
          <w:color w:val="000000"/>
          <w:shd w:val="clear" w:color="auto" w:fill="FFFFFF"/>
        </w:rPr>
        <w:t>, 2015 CF 1184</w:t>
      </w:r>
    </w:p>
    <w:p w14:paraId="7CFEC0CA" w14:textId="77777777" w:rsidR="001A2839" w:rsidRDefault="001A2839" w:rsidP="005913D4">
      <w:pPr>
        <w:rPr>
          <w:rStyle w:val="normaltextrun"/>
          <w:color w:val="000000"/>
          <w:shd w:val="clear" w:color="auto" w:fill="FFFFFF"/>
        </w:rPr>
      </w:pPr>
      <w:r>
        <w:rPr>
          <w:rStyle w:val="normaltextrun"/>
          <w:i/>
          <w:iCs/>
          <w:color w:val="000000"/>
          <w:shd w:val="clear" w:color="auto" w:fill="FFFFFF"/>
        </w:rPr>
        <w:t>Mugesera c Canada (Ministre de la Citoyenneté et de l’Immigration)</w:t>
      </w:r>
      <w:r>
        <w:rPr>
          <w:rStyle w:val="normaltextrun"/>
          <w:color w:val="000000"/>
          <w:shd w:val="clear" w:color="auto" w:fill="FFFFFF"/>
        </w:rPr>
        <w:t>, 2005 CSC 40</w:t>
      </w:r>
    </w:p>
    <w:p w14:paraId="5436F39A" w14:textId="68C5D851" w:rsidR="001A2839" w:rsidRDefault="001A2839" w:rsidP="005913D4">
      <w:pPr>
        <w:rPr>
          <w:rStyle w:val="normaltextrun"/>
          <w:color w:val="000000"/>
          <w:shd w:val="clear" w:color="auto" w:fill="FFFFFF"/>
        </w:rPr>
      </w:pPr>
      <w:r w:rsidRPr="3ED1510B">
        <w:rPr>
          <w:rStyle w:val="normaltextrun"/>
          <w:i/>
          <w:iCs/>
          <w:color w:val="000000"/>
          <w:shd w:val="clear" w:color="auto" w:fill="FFFFFF"/>
        </w:rPr>
        <w:t>Najafi</w:t>
      </w:r>
      <w:r w:rsidR="62E26003" w:rsidRPr="3ED1510B">
        <w:rPr>
          <w:rStyle w:val="normaltextrun"/>
          <w:i/>
          <w:iCs/>
          <w:color w:val="000000"/>
          <w:shd w:val="clear" w:color="auto" w:fill="FFFFFF"/>
        </w:rPr>
        <w:t xml:space="preserve"> c</w:t>
      </w:r>
      <w:r>
        <w:rPr>
          <w:rStyle w:val="normaltextrun"/>
          <w:color w:val="000000"/>
          <w:shd w:val="clear" w:color="auto" w:fill="FFFFFF"/>
        </w:rPr>
        <w:t> </w:t>
      </w:r>
      <w:r w:rsidRPr="3ED1510B">
        <w:rPr>
          <w:rStyle w:val="normaltextrun"/>
          <w:i/>
          <w:iCs/>
          <w:color w:val="000000"/>
          <w:shd w:val="clear" w:color="auto" w:fill="FFFFFF"/>
        </w:rPr>
        <w:t>Canada (Sécurité publique et Protection civile)</w:t>
      </w:r>
      <w:r>
        <w:rPr>
          <w:rStyle w:val="normaltextrun"/>
          <w:color w:val="000000"/>
          <w:shd w:val="clear" w:color="auto" w:fill="FFFFFF"/>
        </w:rPr>
        <w:t>, 2014 CAF 262</w:t>
      </w:r>
    </w:p>
    <w:p w14:paraId="5B2C3C47" w14:textId="561D4983" w:rsidR="001A2839" w:rsidRDefault="001A2839" w:rsidP="005913D4">
      <w:pPr>
        <w:rPr>
          <w:rStyle w:val="normaltextrun"/>
          <w:color w:val="000000"/>
          <w:shd w:val="clear" w:color="auto" w:fill="FFFFFF"/>
        </w:rPr>
      </w:pPr>
      <w:r w:rsidRPr="3ED1510B">
        <w:rPr>
          <w:rStyle w:val="normaltextrun"/>
          <w:i/>
          <w:iCs/>
          <w:color w:val="000000"/>
          <w:shd w:val="clear" w:color="auto" w:fill="FFFFFF"/>
        </w:rPr>
        <w:t>Najafi</w:t>
      </w:r>
      <w:r w:rsidR="12CE3C93" w:rsidRPr="3ED1510B">
        <w:rPr>
          <w:rStyle w:val="normaltextrun"/>
          <w:i/>
          <w:iCs/>
          <w:color w:val="000000"/>
          <w:shd w:val="clear" w:color="auto" w:fill="FFFFFF"/>
        </w:rPr>
        <w:t xml:space="preserve"> c</w:t>
      </w:r>
      <w:r>
        <w:rPr>
          <w:rStyle w:val="normaltextrun"/>
          <w:color w:val="000000"/>
          <w:shd w:val="clear" w:color="auto" w:fill="FFFFFF"/>
        </w:rPr>
        <w:t> </w:t>
      </w:r>
      <w:r w:rsidRPr="3ED1510B">
        <w:rPr>
          <w:rStyle w:val="normaltextrun"/>
          <w:i/>
          <w:iCs/>
          <w:color w:val="000000"/>
          <w:shd w:val="clear" w:color="auto" w:fill="FFFFFF"/>
        </w:rPr>
        <w:t>Canada (Sécurité publique et Protection civile)</w:t>
      </w:r>
      <w:r>
        <w:rPr>
          <w:rStyle w:val="normaltextrun"/>
          <w:color w:val="000000"/>
          <w:shd w:val="clear" w:color="auto" w:fill="FFFFFF"/>
        </w:rPr>
        <w:t>, 2013 CF 876</w:t>
      </w:r>
    </w:p>
    <w:p w14:paraId="4B1147C2" w14:textId="55F58015" w:rsidR="001A2839" w:rsidRDefault="001A2839" w:rsidP="005913D4">
      <w:pPr>
        <w:rPr>
          <w:rStyle w:val="normaltextrun"/>
          <w:color w:val="000000"/>
          <w:shd w:val="clear" w:color="auto" w:fill="FFFFFF"/>
        </w:rPr>
      </w:pPr>
      <w:r w:rsidRPr="3ED1510B">
        <w:rPr>
          <w:rStyle w:val="normaltextrun"/>
          <w:i/>
          <w:iCs/>
          <w:color w:val="000000"/>
          <w:shd w:val="clear" w:color="auto" w:fill="FFFFFF"/>
        </w:rPr>
        <w:t>Niyungeko</w:t>
      </w:r>
      <w:r w:rsidR="002A4C7E" w:rsidRPr="3ED1510B">
        <w:rPr>
          <w:rStyle w:val="normaltextrun"/>
          <w:i/>
          <w:iCs/>
          <w:color w:val="000000"/>
          <w:shd w:val="clear" w:color="auto" w:fill="FFFFFF"/>
        </w:rPr>
        <w:t xml:space="preserve"> c</w:t>
      </w:r>
      <w:r w:rsidRPr="3ED1510B">
        <w:rPr>
          <w:rStyle w:val="normaltextrun"/>
          <w:i/>
          <w:iCs/>
          <w:color w:val="000000"/>
          <w:shd w:val="clear" w:color="auto" w:fill="FFFFFF"/>
        </w:rPr>
        <w:t> Canada (Citoyenneté et Immigration), </w:t>
      </w:r>
      <w:r>
        <w:rPr>
          <w:rStyle w:val="normaltextrun"/>
          <w:color w:val="000000"/>
          <w:shd w:val="clear" w:color="auto" w:fill="FFFFFF"/>
        </w:rPr>
        <w:t>2019 CF 820</w:t>
      </w:r>
    </w:p>
    <w:p w14:paraId="70FAC0C1" w14:textId="77777777" w:rsidR="001A2839" w:rsidRDefault="001A2839" w:rsidP="005913D4">
      <w:pPr>
        <w:rPr>
          <w:rStyle w:val="normaltextrun"/>
          <w:color w:val="000000"/>
          <w:shd w:val="clear" w:color="auto" w:fill="FFFFFF"/>
        </w:rPr>
      </w:pPr>
      <w:r>
        <w:rPr>
          <w:rStyle w:val="normaltextrun"/>
          <w:i/>
          <w:iCs/>
          <w:color w:val="000000"/>
          <w:shd w:val="clear" w:color="auto" w:fill="FFFFFF"/>
        </w:rPr>
        <w:t>Oremade c Canada (Ministre de la Citoyenneté et de l'Immigration)</w:t>
      </w:r>
      <w:r>
        <w:rPr>
          <w:rStyle w:val="normaltextrun"/>
          <w:color w:val="000000"/>
          <w:shd w:val="clear" w:color="auto" w:fill="FFFFFF"/>
        </w:rPr>
        <w:t>, 2005 CF 1077</w:t>
      </w:r>
    </w:p>
    <w:p w14:paraId="5EC19FCD" w14:textId="5A350AA1" w:rsidR="001A2839" w:rsidRDefault="001A2839" w:rsidP="005913D4">
      <w:pPr>
        <w:rPr>
          <w:rStyle w:val="normaltextrun"/>
          <w:color w:val="000000"/>
          <w:shd w:val="clear" w:color="auto" w:fill="FFFFFF"/>
        </w:rPr>
      </w:pPr>
      <w:r w:rsidRPr="3ED1510B">
        <w:rPr>
          <w:rStyle w:val="normaltextrun"/>
          <w:i/>
          <w:iCs/>
          <w:color w:val="000000"/>
          <w:shd w:val="clear" w:color="auto" w:fill="FFFFFF"/>
        </w:rPr>
        <w:t>P.S.</w:t>
      </w:r>
      <w:r w:rsidR="1B698976" w:rsidRPr="3ED1510B">
        <w:rPr>
          <w:rStyle w:val="normaltextrun"/>
          <w:i/>
          <w:iCs/>
          <w:color w:val="000000"/>
          <w:shd w:val="clear" w:color="auto" w:fill="FFFFFF"/>
        </w:rPr>
        <w:t xml:space="preserve"> c</w:t>
      </w:r>
      <w:r>
        <w:rPr>
          <w:rStyle w:val="normaltextrun"/>
          <w:color w:val="000000"/>
          <w:shd w:val="clear" w:color="auto" w:fill="FFFFFF"/>
        </w:rPr>
        <w:t> </w:t>
      </w:r>
      <w:r w:rsidRPr="3ED1510B">
        <w:rPr>
          <w:rStyle w:val="normaltextrun"/>
          <w:i/>
          <w:iCs/>
          <w:color w:val="000000"/>
          <w:shd w:val="clear" w:color="auto" w:fill="FFFFFF"/>
        </w:rPr>
        <w:t>Canada (Ministre de la Citoyenneté et de l'Immigration)</w:t>
      </w:r>
      <w:r>
        <w:rPr>
          <w:rStyle w:val="normaltextrun"/>
          <w:color w:val="000000"/>
          <w:shd w:val="clear" w:color="auto" w:fill="FFFFFF"/>
        </w:rPr>
        <w:t>, 2014 CF 168</w:t>
      </w:r>
    </w:p>
    <w:p w14:paraId="451C66B2" w14:textId="3B8BBF32" w:rsidR="001A2839" w:rsidRDefault="001A2839" w:rsidP="005913D4">
      <w:pPr>
        <w:rPr>
          <w:rStyle w:val="normaltextrun"/>
          <w:color w:val="000000"/>
          <w:shd w:val="clear" w:color="auto" w:fill="FFFFFF"/>
        </w:rPr>
      </w:pPr>
      <w:r w:rsidRPr="3ED1510B">
        <w:rPr>
          <w:rStyle w:val="normaltextrun"/>
          <w:i/>
          <w:iCs/>
          <w:color w:val="000000"/>
          <w:shd w:val="clear" w:color="auto" w:fill="FFFFFF"/>
        </w:rPr>
        <w:t>Poshteh</w:t>
      </w:r>
      <w:r w:rsidR="6DF3E34C" w:rsidRPr="3ED1510B">
        <w:rPr>
          <w:rStyle w:val="normaltextrun"/>
          <w:i/>
          <w:iCs/>
          <w:color w:val="000000"/>
          <w:shd w:val="clear" w:color="auto" w:fill="FFFFFF"/>
        </w:rPr>
        <w:t xml:space="preserve"> c</w:t>
      </w:r>
      <w:r>
        <w:rPr>
          <w:rStyle w:val="normaltextrun"/>
          <w:color w:val="000000"/>
          <w:shd w:val="clear" w:color="auto" w:fill="FFFFFF"/>
        </w:rPr>
        <w:t> </w:t>
      </w:r>
      <w:r w:rsidRPr="3ED1510B">
        <w:rPr>
          <w:rStyle w:val="normaltextrun"/>
          <w:i/>
          <w:iCs/>
          <w:color w:val="000000"/>
          <w:shd w:val="clear" w:color="auto" w:fill="FFFFFF"/>
        </w:rPr>
        <w:t>Canada (Ministre de la Citoyenneté et de l'Immigration)</w:t>
      </w:r>
      <w:r>
        <w:rPr>
          <w:rStyle w:val="normaltextrun"/>
          <w:color w:val="000000"/>
          <w:shd w:val="clear" w:color="auto" w:fill="FFFFFF"/>
        </w:rPr>
        <w:t>, 2005 CAF 85</w:t>
      </w:r>
    </w:p>
    <w:p w14:paraId="6D9C91BA" w14:textId="42292BA8" w:rsidR="001A2839" w:rsidRDefault="001A2839" w:rsidP="005913D4">
      <w:pPr>
        <w:rPr>
          <w:rStyle w:val="normaltextrun"/>
          <w:color w:val="000000"/>
          <w:shd w:val="clear" w:color="auto" w:fill="FFFFFF"/>
        </w:rPr>
      </w:pPr>
      <w:r w:rsidRPr="3ED1510B">
        <w:rPr>
          <w:rStyle w:val="normaltextrun"/>
          <w:i/>
          <w:iCs/>
          <w:color w:val="000000"/>
          <w:shd w:val="clear" w:color="auto" w:fill="FFFFFF"/>
        </w:rPr>
        <w:t>Qu</w:t>
      </w:r>
      <w:r w:rsidR="0D4B9C79" w:rsidRPr="3ED1510B">
        <w:rPr>
          <w:rStyle w:val="normaltextrun"/>
          <w:i/>
          <w:iCs/>
          <w:color w:val="000000"/>
          <w:shd w:val="clear" w:color="auto" w:fill="FFFFFF"/>
        </w:rPr>
        <w:t xml:space="preserve"> c</w:t>
      </w:r>
      <w:r>
        <w:rPr>
          <w:rStyle w:val="normaltextrun"/>
          <w:color w:val="000000"/>
          <w:shd w:val="clear" w:color="auto" w:fill="FFFFFF"/>
        </w:rPr>
        <w:t> </w:t>
      </w:r>
      <w:r w:rsidRPr="3ED1510B">
        <w:rPr>
          <w:rStyle w:val="normaltextrun"/>
          <w:i/>
          <w:iCs/>
          <w:color w:val="000000"/>
          <w:shd w:val="clear" w:color="auto" w:fill="FFFFFF"/>
        </w:rPr>
        <w:t>Canada (Ministre de la Citoyenneté et de l’Immigration</w:t>
      </w:r>
      <w:r>
        <w:rPr>
          <w:rStyle w:val="normaltextrun"/>
          <w:color w:val="000000"/>
          <w:shd w:val="clear" w:color="auto" w:fill="FFFFFF"/>
        </w:rPr>
        <w:t>), 2001 CAF 399</w:t>
      </w:r>
    </w:p>
    <w:p w14:paraId="2A8F8F52" w14:textId="6C202F68" w:rsidR="001A2839" w:rsidRPr="0010038B" w:rsidRDefault="001A2839" w:rsidP="005913D4">
      <w:pPr>
        <w:rPr>
          <w:rStyle w:val="normaltextrun"/>
          <w:color w:val="000000"/>
          <w:shd w:val="clear" w:color="auto" w:fill="FFFFFF"/>
          <w:lang w:val="en-CA"/>
        </w:rPr>
      </w:pPr>
      <w:r w:rsidRPr="3ED1510B">
        <w:rPr>
          <w:rStyle w:val="normaltextrun"/>
          <w:i/>
          <w:iCs/>
          <w:color w:val="000000"/>
          <w:shd w:val="clear" w:color="auto" w:fill="FFFFFF"/>
          <w:lang w:val="en-CA"/>
        </w:rPr>
        <w:t>R</w:t>
      </w:r>
      <w:r w:rsidR="37386A2D" w:rsidRPr="3ED1510B">
        <w:rPr>
          <w:rStyle w:val="normaltextrun"/>
          <w:i/>
          <w:iCs/>
          <w:color w:val="000000"/>
          <w:shd w:val="clear" w:color="auto" w:fill="FFFFFF"/>
          <w:lang w:val="en-CA"/>
        </w:rPr>
        <w:t xml:space="preserve"> c</w:t>
      </w:r>
      <w:r w:rsidRPr="0010038B">
        <w:rPr>
          <w:rStyle w:val="normaltextrun"/>
          <w:color w:val="000000"/>
          <w:shd w:val="clear" w:color="auto" w:fill="FFFFFF"/>
          <w:lang w:val="en-CA"/>
        </w:rPr>
        <w:t> </w:t>
      </w:r>
      <w:r w:rsidRPr="3ED1510B">
        <w:rPr>
          <w:rStyle w:val="normaltextrun"/>
          <w:i/>
          <w:iCs/>
          <w:color w:val="000000"/>
          <w:shd w:val="clear" w:color="auto" w:fill="FFFFFF"/>
          <w:lang w:val="en-CA"/>
        </w:rPr>
        <w:t>Ruzic</w:t>
      </w:r>
      <w:r w:rsidRPr="0010038B">
        <w:rPr>
          <w:rStyle w:val="normaltextrun"/>
          <w:color w:val="000000"/>
          <w:shd w:val="clear" w:color="auto" w:fill="FFFFFF"/>
          <w:lang w:val="en-CA"/>
        </w:rPr>
        <w:t>, 2001 CSC 24</w:t>
      </w:r>
    </w:p>
    <w:p w14:paraId="607A1547" w14:textId="29C7A790" w:rsidR="001A2839" w:rsidRDefault="001A2839" w:rsidP="005913D4">
      <w:pPr>
        <w:rPr>
          <w:rStyle w:val="normaltextrun"/>
          <w:rFonts w:ascii="Times" w:hAnsi="Times" w:cs="Times"/>
          <w:color w:val="000000"/>
          <w:shd w:val="clear" w:color="auto" w:fill="FFFFFF"/>
          <w:lang w:val="en-CA"/>
        </w:rPr>
      </w:pPr>
      <w:r w:rsidRPr="3ED1510B">
        <w:rPr>
          <w:rStyle w:val="normaltextrun"/>
          <w:rFonts w:ascii="Times" w:hAnsi="Times" w:cs="Times"/>
          <w:i/>
          <w:iCs/>
          <w:color w:val="000000"/>
          <w:shd w:val="clear" w:color="auto" w:fill="FFFFFF"/>
          <w:lang w:val="en-CA"/>
        </w:rPr>
        <w:t>R</w:t>
      </w:r>
      <w:r w:rsidR="2E26D570" w:rsidRPr="3ED1510B">
        <w:rPr>
          <w:rStyle w:val="normaltextrun"/>
          <w:rFonts w:ascii="Times" w:hAnsi="Times" w:cs="Times"/>
          <w:i/>
          <w:iCs/>
          <w:color w:val="000000"/>
          <w:shd w:val="clear" w:color="auto" w:fill="FFFFFF"/>
          <w:lang w:val="en-CA"/>
        </w:rPr>
        <w:t xml:space="preserve"> c</w:t>
      </w:r>
      <w:r w:rsidRPr="00D2391B">
        <w:rPr>
          <w:rStyle w:val="normaltextrun"/>
          <w:rFonts w:ascii="Times" w:hAnsi="Times" w:cs="Times"/>
          <w:color w:val="000000"/>
          <w:shd w:val="clear" w:color="auto" w:fill="FFFFFF"/>
          <w:lang w:val="en-CA"/>
        </w:rPr>
        <w:t> </w:t>
      </w:r>
      <w:r w:rsidRPr="3ED1510B">
        <w:rPr>
          <w:rStyle w:val="normaltextrun"/>
          <w:rFonts w:ascii="Times" w:hAnsi="Times" w:cs="Times"/>
          <w:i/>
          <w:iCs/>
          <w:color w:val="000000"/>
          <w:shd w:val="clear" w:color="auto" w:fill="FFFFFF"/>
          <w:lang w:val="en-CA"/>
        </w:rPr>
        <w:t>Hibbert</w:t>
      </w:r>
      <w:r w:rsidRPr="00D2391B">
        <w:rPr>
          <w:rStyle w:val="normaltextrun"/>
          <w:rFonts w:ascii="Times" w:hAnsi="Times" w:cs="Times"/>
          <w:color w:val="000000"/>
          <w:shd w:val="clear" w:color="auto" w:fill="FFFFFF"/>
          <w:lang w:val="en-CA"/>
        </w:rPr>
        <w:t>, [1995] 2 R.C.S. 973</w:t>
      </w:r>
    </w:p>
    <w:p w14:paraId="468F327D" w14:textId="6B73FFAC" w:rsidR="001A2839" w:rsidRPr="00B701FE" w:rsidRDefault="001A2839" w:rsidP="005913D4">
      <w:pPr>
        <w:rPr>
          <w:rStyle w:val="normaltextrun"/>
          <w:color w:val="000000"/>
          <w:shd w:val="clear" w:color="auto" w:fill="FFFFFF"/>
          <w:lang w:val="en-CA"/>
        </w:rPr>
      </w:pPr>
      <w:r w:rsidRPr="3ED1510B">
        <w:rPr>
          <w:rStyle w:val="normaltextrun"/>
          <w:i/>
          <w:iCs/>
          <w:color w:val="000000"/>
          <w:shd w:val="clear" w:color="auto" w:fill="FFFFFF"/>
          <w:lang w:val="en-CA"/>
        </w:rPr>
        <w:t>R</w:t>
      </w:r>
      <w:r w:rsidR="12D06530" w:rsidRPr="3ED1510B">
        <w:rPr>
          <w:rStyle w:val="normaltextrun"/>
          <w:i/>
          <w:iCs/>
          <w:color w:val="000000"/>
          <w:shd w:val="clear" w:color="auto" w:fill="FFFFFF"/>
          <w:lang w:val="en-CA"/>
        </w:rPr>
        <w:t xml:space="preserve"> c</w:t>
      </w:r>
      <w:r w:rsidRPr="00B701FE">
        <w:rPr>
          <w:rStyle w:val="normaltextrun"/>
          <w:color w:val="000000"/>
          <w:shd w:val="clear" w:color="auto" w:fill="FFFFFF"/>
          <w:lang w:val="en-CA"/>
        </w:rPr>
        <w:t> </w:t>
      </w:r>
      <w:r w:rsidRPr="3ED1510B">
        <w:rPr>
          <w:rStyle w:val="normaltextrun"/>
          <w:i/>
          <w:iCs/>
          <w:color w:val="000000"/>
          <w:shd w:val="clear" w:color="auto" w:fill="FFFFFF"/>
          <w:lang w:val="en-CA"/>
        </w:rPr>
        <w:t>Keegstra, </w:t>
      </w:r>
      <w:r w:rsidRPr="00B701FE">
        <w:rPr>
          <w:rStyle w:val="normaltextrun"/>
          <w:color w:val="000000"/>
          <w:shd w:val="clear" w:color="auto" w:fill="FFFFFF"/>
          <w:lang w:val="en-CA"/>
        </w:rPr>
        <w:t>[1990] 3 R.C.S. 697</w:t>
      </w:r>
    </w:p>
    <w:p w14:paraId="7E90BC40" w14:textId="07FD9E79" w:rsidR="001A2839" w:rsidRDefault="001A2839" w:rsidP="005913D4">
      <w:pPr>
        <w:rPr>
          <w:rStyle w:val="normaltextrun"/>
          <w:color w:val="000000"/>
          <w:shd w:val="clear" w:color="auto" w:fill="FFFFFF"/>
        </w:rPr>
      </w:pPr>
      <w:r w:rsidRPr="3ED1510B">
        <w:rPr>
          <w:rStyle w:val="normaltextrun"/>
          <w:i/>
          <w:iCs/>
          <w:color w:val="000000"/>
          <w:shd w:val="clear" w:color="auto" w:fill="FFFFFF"/>
        </w:rPr>
        <w:t>Ramirez</w:t>
      </w:r>
      <w:r w:rsidR="0F6374DB" w:rsidRPr="3ED1510B">
        <w:rPr>
          <w:rStyle w:val="normaltextrun"/>
          <w:i/>
          <w:iCs/>
          <w:color w:val="000000"/>
          <w:shd w:val="clear" w:color="auto" w:fill="FFFFFF"/>
        </w:rPr>
        <w:t xml:space="preserve"> c</w:t>
      </w:r>
      <w:r>
        <w:rPr>
          <w:rStyle w:val="normaltextrun"/>
          <w:color w:val="000000"/>
          <w:shd w:val="clear" w:color="auto" w:fill="FFFFFF"/>
        </w:rPr>
        <w:t> </w:t>
      </w:r>
      <w:r w:rsidRPr="3ED1510B">
        <w:rPr>
          <w:rStyle w:val="normaltextrun"/>
          <w:i/>
          <w:iCs/>
          <w:color w:val="000000"/>
          <w:shd w:val="clear" w:color="auto" w:fill="FFFFFF"/>
        </w:rPr>
        <w:t>Canada (Ministre de l’emploi et de l’immigration),</w:t>
      </w:r>
      <w:r>
        <w:rPr>
          <w:rStyle w:val="normaltextrun"/>
          <w:color w:val="000000"/>
          <w:shd w:val="clear" w:color="auto" w:fill="FFFFFF"/>
        </w:rPr>
        <w:t> [1992] 2 C.F. 306</w:t>
      </w:r>
    </w:p>
    <w:p w14:paraId="1192D119" w14:textId="11B6D118" w:rsidR="001A2839" w:rsidRPr="00A627C4" w:rsidRDefault="001A2839" w:rsidP="005913D4">
      <w:pPr>
        <w:rPr>
          <w:rFonts w:eastAsia="Times New Roman"/>
          <w:spacing w:val="-5"/>
        </w:rPr>
      </w:pPr>
      <w:r w:rsidRPr="3ED1510B">
        <w:rPr>
          <w:rStyle w:val="normaltextrun"/>
          <w:i/>
          <w:iCs/>
          <w:color w:val="000000"/>
          <w:shd w:val="clear" w:color="auto" w:fill="FFFFFF"/>
        </w:rPr>
        <w:t>Rana</w:t>
      </w:r>
      <w:r w:rsidR="497F26CB" w:rsidRPr="3ED1510B">
        <w:rPr>
          <w:rStyle w:val="normaltextrun"/>
          <w:i/>
          <w:iCs/>
          <w:color w:val="000000"/>
          <w:shd w:val="clear" w:color="auto" w:fill="FFFFFF"/>
        </w:rPr>
        <w:t xml:space="preserve"> c</w:t>
      </w:r>
      <w:r>
        <w:rPr>
          <w:rStyle w:val="normaltextrun"/>
          <w:color w:val="000000"/>
          <w:shd w:val="clear" w:color="auto" w:fill="FFFFFF"/>
        </w:rPr>
        <w:t> </w:t>
      </w:r>
      <w:r w:rsidRPr="3ED1510B">
        <w:rPr>
          <w:rStyle w:val="normaltextrun"/>
          <w:i/>
          <w:iCs/>
          <w:color w:val="000000"/>
          <w:shd w:val="clear" w:color="auto" w:fill="FFFFFF"/>
        </w:rPr>
        <w:t>Canada (Ministre de la Sécurité publique et de la Protection civile)</w:t>
      </w:r>
      <w:r>
        <w:rPr>
          <w:rStyle w:val="normaltextrun"/>
          <w:color w:val="000000"/>
          <w:shd w:val="clear" w:color="auto" w:fill="FFFFFF"/>
        </w:rPr>
        <w:t>, 2018 CF 1080</w:t>
      </w:r>
    </w:p>
    <w:p w14:paraId="486C6AA6" w14:textId="77777777" w:rsidR="001A2839" w:rsidRPr="00B67A5E" w:rsidRDefault="001A2839" w:rsidP="005913D4">
      <w:pPr>
        <w:rPr>
          <w:rStyle w:val="normaltextrun"/>
          <w:color w:val="000000"/>
          <w:shd w:val="clear" w:color="auto" w:fill="FFFFFF"/>
          <w:lang w:val="en-CA"/>
        </w:rPr>
      </w:pPr>
      <w:r w:rsidRPr="00B67A5E">
        <w:rPr>
          <w:rStyle w:val="normaltextrun"/>
          <w:i/>
          <w:iCs/>
          <w:color w:val="000000"/>
          <w:shd w:val="clear" w:color="auto" w:fill="FFFFFF"/>
          <w:lang w:val="en-CA"/>
        </w:rPr>
        <w:t>Rizzo &amp; Rizzo Shoes Ltd. (Re)</w:t>
      </w:r>
      <w:r w:rsidRPr="00B67A5E">
        <w:rPr>
          <w:rStyle w:val="normaltextrun"/>
          <w:color w:val="000000"/>
          <w:shd w:val="clear" w:color="auto" w:fill="FFFFFF"/>
          <w:lang w:val="en-CA"/>
        </w:rPr>
        <w:t>, 1998 1 RCS 27</w:t>
      </w:r>
    </w:p>
    <w:p w14:paraId="02442F7C" w14:textId="0DA5E315" w:rsidR="001A2839" w:rsidRDefault="001A2839" w:rsidP="005913D4">
      <w:pPr>
        <w:rPr>
          <w:rStyle w:val="normaltextrun"/>
          <w:color w:val="000000"/>
          <w:shd w:val="clear" w:color="auto" w:fill="FFFFFF"/>
        </w:rPr>
      </w:pPr>
      <w:r w:rsidRPr="3C992653">
        <w:rPr>
          <w:rStyle w:val="normaltextrun"/>
          <w:i/>
          <w:iCs/>
          <w:color w:val="000000"/>
          <w:shd w:val="clear" w:color="auto" w:fill="FFFFFF"/>
        </w:rPr>
        <w:t>Sinnaiah</w:t>
      </w:r>
      <w:r w:rsidR="70BF8259" w:rsidRPr="3C992653">
        <w:rPr>
          <w:rStyle w:val="normaltextrun"/>
          <w:i/>
          <w:iCs/>
          <w:color w:val="000000"/>
          <w:shd w:val="clear" w:color="auto" w:fill="FFFFFF"/>
        </w:rPr>
        <w:t xml:space="preserve"> c </w:t>
      </w:r>
      <w:r w:rsidRPr="3C992653">
        <w:rPr>
          <w:rStyle w:val="normaltextrun"/>
          <w:i/>
          <w:iCs/>
          <w:color w:val="000000"/>
          <w:shd w:val="clear" w:color="auto" w:fill="FFFFFF"/>
        </w:rPr>
        <w:t>Canada (Ministre de la Citoyenneté et de l’Immigration)</w:t>
      </w:r>
      <w:r>
        <w:rPr>
          <w:rStyle w:val="normaltextrun"/>
          <w:color w:val="000000"/>
          <w:shd w:val="clear" w:color="auto" w:fill="FFFFFF"/>
        </w:rPr>
        <w:t>, 2004 CF 1576</w:t>
      </w:r>
    </w:p>
    <w:p w14:paraId="0CDE5EF9" w14:textId="79F369F9" w:rsidR="001A2839" w:rsidRDefault="001A2839" w:rsidP="005913D4">
      <w:pPr>
        <w:rPr>
          <w:rStyle w:val="normaltextrun"/>
          <w:color w:val="000000"/>
          <w:shd w:val="clear" w:color="auto" w:fill="FFFFFF"/>
        </w:rPr>
      </w:pPr>
      <w:r w:rsidRPr="3C992653">
        <w:rPr>
          <w:rStyle w:val="normaltextrun"/>
          <w:i/>
          <w:iCs/>
          <w:color w:val="000000"/>
          <w:shd w:val="clear" w:color="auto" w:fill="FFFFFF"/>
        </w:rPr>
        <w:t>Suresh</w:t>
      </w:r>
      <w:r w:rsidR="6D17F28F" w:rsidRPr="3C992653">
        <w:rPr>
          <w:rStyle w:val="normaltextrun"/>
          <w:i/>
          <w:iCs/>
          <w:color w:val="000000"/>
          <w:shd w:val="clear" w:color="auto" w:fill="FFFFFF"/>
        </w:rPr>
        <w:t xml:space="preserve"> c</w:t>
      </w:r>
      <w:r>
        <w:rPr>
          <w:rStyle w:val="normaltextrun"/>
          <w:color w:val="000000"/>
          <w:shd w:val="clear" w:color="auto" w:fill="FFFFFF"/>
        </w:rPr>
        <w:t> </w:t>
      </w:r>
      <w:r w:rsidRPr="3C992653">
        <w:rPr>
          <w:rStyle w:val="normaltextrun"/>
          <w:i/>
          <w:iCs/>
          <w:color w:val="000000"/>
          <w:shd w:val="clear" w:color="auto" w:fill="FFFFFF"/>
        </w:rPr>
        <w:t>Canada (Ministre de la Citoyenneté et de l’Immigration, </w:t>
      </w:r>
      <w:r>
        <w:rPr>
          <w:rStyle w:val="normaltextrun"/>
          <w:color w:val="000000"/>
          <w:shd w:val="clear" w:color="auto" w:fill="FFFFFF"/>
        </w:rPr>
        <w:t>[2002] 1 R.C.S.</w:t>
      </w:r>
    </w:p>
    <w:p w14:paraId="49EE2F68" w14:textId="694C579E" w:rsidR="001A2839" w:rsidRDefault="001A2839" w:rsidP="005913D4">
      <w:pPr>
        <w:rPr>
          <w:rStyle w:val="normaltextrun"/>
          <w:color w:val="000000"/>
          <w:shd w:val="clear" w:color="auto" w:fill="FFFFFF"/>
        </w:rPr>
      </w:pPr>
      <w:r w:rsidRPr="3C992653">
        <w:rPr>
          <w:rStyle w:val="normaltextrun"/>
          <w:i/>
          <w:iCs/>
          <w:color w:val="000000"/>
          <w:shd w:val="clear" w:color="auto" w:fill="FFFFFF"/>
        </w:rPr>
        <w:t>Thiyagarajah</w:t>
      </w:r>
      <w:r w:rsidR="7F9891CD" w:rsidRPr="3C992653">
        <w:rPr>
          <w:rStyle w:val="normaltextrun"/>
          <w:i/>
          <w:iCs/>
          <w:color w:val="000000"/>
          <w:shd w:val="clear" w:color="auto" w:fill="FFFFFF"/>
        </w:rPr>
        <w:t xml:space="preserve"> c</w:t>
      </w:r>
      <w:r>
        <w:rPr>
          <w:rStyle w:val="normaltextrun"/>
          <w:color w:val="000000"/>
          <w:shd w:val="clear" w:color="auto" w:fill="FFFFFF"/>
        </w:rPr>
        <w:t> </w:t>
      </w:r>
      <w:r w:rsidRPr="3C992653">
        <w:rPr>
          <w:rStyle w:val="normaltextrun"/>
          <w:i/>
          <w:iCs/>
          <w:color w:val="000000"/>
          <w:shd w:val="clear" w:color="auto" w:fill="FFFFFF"/>
        </w:rPr>
        <w:t>Canada (Ministre de la Citoyenneté et de l'Immigration)</w:t>
      </w:r>
      <w:r>
        <w:rPr>
          <w:rStyle w:val="normaltextrun"/>
          <w:color w:val="000000"/>
          <w:shd w:val="clear" w:color="auto" w:fill="FFFFFF"/>
        </w:rPr>
        <w:t>, [2011] A.C.F. 450</w:t>
      </w:r>
    </w:p>
    <w:p w14:paraId="519D750C" w14:textId="7D7A54E2" w:rsidR="001A2839" w:rsidRDefault="001A2839" w:rsidP="005913D4">
      <w:pPr>
        <w:rPr>
          <w:rStyle w:val="normaltextrun"/>
          <w:color w:val="000000"/>
          <w:shd w:val="clear" w:color="auto" w:fill="FFFFFF"/>
        </w:rPr>
      </w:pPr>
      <w:r w:rsidRPr="3C992653">
        <w:rPr>
          <w:rStyle w:val="normaltextrun"/>
          <w:i/>
          <w:iCs/>
          <w:color w:val="000000"/>
          <w:shd w:val="clear" w:color="auto" w:fill="FFFFFF"/>
        </w:rPr>
        <w:t>Toronto Coalition to Stop the War</w:t>
      </w:r>
      <w:r w:rsidR="512875AA" w:rsidRPr="3C992653">
        <w:rPr>
          <w:rStyle w:val="normaltextrun"/>
          <w:i/>
          <w:iCs/>
          <w:color w:val="000000"/>
          <w:shd w:val="clear" w:color="auto" w:fill="FFFFFF"/>
        </w:rPr>
        <w:t xml:space="preserve"> c</w:t>
      </w:r>
      <w:r>
        <w:rPr>
          <w:rStyle w:val="normaltextrun"/>
          <w:color w:val="000000"/>
          <w:shd w:val="clear" w:color="auto" w:fill="FFFFFF"/>
        </w:rPr>
        <w:t> </w:t>
      </w:r>
      <w:r w:rsidRPr="3C992653">
        <w:rPr>
          <w:rStyle w:val="normaltextrun"/>
          <w:i/>
          <w:iCs/>
          <w:color w:val="000000"/>
          <w:shd w:val="clear" w:color="auto" w:fill="FFFFFF"/>
        </w:rPr>
        <w:t>Canada (Ministre de la Sécurité publique et de la Protection civile)</w:t>
      </w:r>
      <w:r>
        <w:rPr>
          <w:rStyle w:val="normaltextrun"/>
          <w:color w:val="000000"/>
          <w:shd w:val="clear" w:color="auto" w:fill="FFFFFF"/>
        </w:rPr>
        <w:t>, 2010 CF 957 </w:t>
      </w:r>
    </w:p>
    <w:p w14:paraId="20A03AD5" w14:textId="47170DD8" w:rsidR="001A2839" w:rsidRDefault="001A2839" w:rsidP="005913D4">
      <w:pPr>
        <w:rPr>
          <w:rStyle w:val="normaltextrun"/>
          <w:color w:val="000000"/>
          <w:shd w:val="clear" w:color="auto" w:fill="FFFFFF"/>
        </w:rPr>
      </w:pPr>
      <w:r w:rsidRPr="3C992653">
        <w:rPr>
          <w:rStyle w:val="normaltextrun"/>
          <w:i/>
          <w:iCs/>
          <w:color w:val="000000"/>
          <w:shd w:val="clear" w:color="auto" w:fill="FFFFFF"/>
        </w:rPr>
        <w:t>Zahw</w:t>
      </w:r>
      <w:r w:rsidR="4DCB846B" w:rsidRPr="3C992653">
        <w:rPr>
          <w:rStyle w:val="normaltextrun"/>
          <w:i/>
          <w:iCs/>
          <w:color w:val="000000"/>
          <w:shd w:val="clear" w:color="auto" w:fill="FFFFFF"/>
        </w:rPr>
        <w:t xml:space="preserve"> c</w:t>
      </w:r>
      <w:r>
        <w:rPr>
          <w:rStyle w:val="normaltextrun"/>
          <w:color w:val="000000"/>
          <w:shd w:val="clear" w:color="auto" w:fill="FFFFFF"/>
        </w:rPr>
        <w:t> </w:t>
      </w:r>
      <w:r w:rsidRPr="3C992653">
        <w:rPr>
          <w:rStyle w:val="normaltextrun"/>
          <w:i/>
          <w:iCs/>
          <w:color w:val="000000"/>
          <w:shd w:val="clear" w:color="auto" w:fill="FFFFFF"/>
        </w:rPr>
        <w:t>Canada (Sécurité publique et Protection civile),</w:t>
      </w:r>
      <w:r>
        <w:rPr>
          <w:rStyle w:val="normaltextrun"/>
          <w:color w:val="000000"/>
          <w:shd w:val="clear" w:color="auto" w:fill="FFFFFF"/>
        </w:rPr>
        <w:t> 2019 CF 934</w:t>
      </w:r>
    </w:p>
    <w:p w14:paraId="58488C83" w14:textId="6D866C3E" w:rsidR="00172A86" w:rsidRPr="00455C82" w:rsidRDefault="00172A86" w:rsidP="625CE1F4">
      <w:pPr>
        <w:rPr>
          <w:rStyle w:val="normaltextrun"/>
          <w:color w:val="000000" w:themeColor="text1"/>
        </w:rPr>
      </w:pPr>
    </w:p>
    <w:sectPr w:rsidR="00172A86" w:rsidRPr="00455C82" w:rsidSect="00F520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FDA1" w14:textId="77777777" w:rsidR="00802ECB" w:rsidRDefault="00802ECB" w:rsidP="004D27EC">
      <w:pPr>
        <w:spacing w:line="240" w:lineRule="auto"/>
      </w:pPr>
      <w:r>
        <w:separator/>
      </w:r>
    </w:p>
  </w:endnote>
  <w:endnote w:type="continuationSeparator" w:id="0">
    <w:p w14:paraId="0D215D95" w14:textId="77777777" w:rsidR="00802ECB" w:rsidRDefault="00802ECB" w:rsidP="004D27EC">
      <w:pPr>
        <w:spacing w:line="240" w:lineRule="auto"/>
      </w:pPr>
      <w:r>
        <w:continuationSeparator/>
      </w:r>
    </w:p>
  </w:endnote>
  <w:endnote w:type="continuationNotice" w:id="1">
    <w:p w14:paraId="7F18AC96" w14:textId="77777777" w:rsidR="00802ECB" w:rsidRDefault="00802E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F99F" w14:textId="77777777" w:rsidR="00570254" w:rsidRDefault="00570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F562DF" w14:paraId="1E6E40F2" w14:textId="77777777" w:rsidTr="05F562DF">
      <w:tc>
        <w:tcPr>
          <w:tcW w:w="3120" w:type="dxa"/>
        </w:tcPr>
        <w:p w14:paraId="55F7627C" w14:textId="066B939C" w:rsidR="05F562DF" w:rsidRDefault="05F562DF" w:rsidP="05F562DF">
          <w:pPr>
            <w:pStyle w:val="Header"/>
            <w:ind w:left="-115"/>
          </w:pPr>
        </w:p>
      </w:tc>
      <w:tc>
        <w:tcPr>
          <w:tcW w:w="3120" w:type="dxa"/>
        </w:tcPr>
        <w:p w14:paraId="70D666E5" w14:textId="72FD660C" w:rsidR="05F562DF" w:rsidRDefault="05F562DF" w:rsidP="05F562DF">
          <w:pPr>
            <w:pStyle w:val="Header"/>
            <w:jc w:val="center"/>
          </w:pPr>
        </w:p>
      </w:tc>
      <w:tc>
        <w:tcPr>
          <w:tcW w:w="3120" w:type="dxa"/>
        </w:tcPr>
        <w:p w14:paraId="154F463B" w14:textId="4AFBC4FD" w:rsidR="05F562DF" w:rsidRDefault="05F562DF" w:rsidP="05F562DF">
          <w:pPr>
            <w:pStyle w:val="Header"/>
            <w:ind w:right="-115"/>
            <w:jc w:val="right"/>
          </w:pPr>
        </w:p>
      </w:tc>
    </w:tr>
  </w:tbl>
  <w:p w14:paraId="22D1E2F1" w14:textId="4C3EF3FD" w:rsidR="05F562DF" w:rsidRDefault="05F562DF" w:rsidP="05F56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2BC110" w14:paraId="513B5001" w14:textId="77777777" w:rsidTr="6A2BC110">
      <w:tc>
        <w:tcPr>
          <w:tcW w:w="3120" w:type="dxa"/>
        </w:tcPr>
        <w:p w14:paraId="79FFDEBA" w14:textId="4A9B30C5" w:rsidR="6A2BC110" w:rsidRDefault="6A2BC110" w:rsidP="6A2BC110">
          <w:pPr>
            <w:pStyle w:val="Header"/>
            <w:ind w:left="-115"/>
          </w:pPr>
        </w:p>
      </w:tc>
      <w:tc>
        <w:tcPr>
          <w:tcW w:w="3120" w:type="dxa"/>
        </w:tcPr>
        <w:p w14:paraId="1BD1902E" w14:textId="4B909630" w:rsidR="6A2BC110" w:rsidRDefault="6A2BC110" w:rsidP="6A2BC110">
          <w:pPr>
            <w:pStyle w:val="Header"/>
            <w:jc w:val="center"/>
          </w:pPr>
        </w:p>
      </w:tc>
      <w:tc>
        <w:tcPr>
          <w:tcW w:w="3120" w:type="dxa"/>
        </w:tcPr>
        <w:p w14:paraId="7F3A257C" w14:textId="5270BC50" w:rsidR="6A2BC110" w:rsidRDefault="6A2BC110" w:rsidP="6A2BC110">
          <w:pPr>
            <w:pStyle w:val="Header"/>
            <w:ind w:right="-115"/>
            <w:jc w:val="right"/>
          </w:pPr>
        </w:p>
      </w:tc>
    </w:tr>
  </w:tbl>
  <w:p w14:paraId="29BBCE09" w14:textId="25E1DDE8" w:rsidR="005C3193" w:rsidRDefault="005C3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854C" w14:textId="77777777" w:rsidR="00802ECB" w:rsidRDefault="00802ECB" w:rsidP="004D27EC">
      <w:pPr>
        <w:spacing w:line="240" w:lineRule="auto"/>
      </w:pPr>
      <w:r>
        <w:separator/>
      </w:r>
    </w:p>
  </w:footnote>
  <w:footnote w:type="continuationSeparator" w:id="0">
    <w:p w14:paraId="1E6255BE" w14:textId="77777777" w:rsidR="00802ECB" w:rsidRDefault="00802ECB" w:rsidP="004D27EC">
      <w:pPr>
        <w:spacing w:line="240" w:lineRule="auto"/>
      </w:pPr>
      <w:r>
        <w:continuationSeparator/>
      </w:r>
    </w:p>
  </w:footnote>
  <w:footnote w:type="continuationNotice" w:id="1">
    <w:p w14:paraId="78081156" w14:textId="77777777" w:rsidR="00802ECB" w:rsidRDefault="00802ECB">
      <w:pPr>
        <w:spacing w:line="240" w:lineRule="auto"/>
      </w:pPr>
    </w:p>
  </w:footnote>
  <w:footnote w:id="2">
    <w:p w14:paraId="7D352CAA" w14:textId="2311154E" w:rsidR="00474080" w:rsidRDefault="00474080">
      <w:pPr>
        <w:pStyle w:val="FootnoteText"/>
        <w:rPr>
          <w:rFonts w:eastAsia="Times New Roman"/>
          <w:sz w:val="24"/>
          <w:szCs w:val="24"/>
        </w:rPr>
      </w:pPr>
      <w:r w:rsidRPr="7403D796">
        <w:rPr>
          <w:rStyle w:val="FootnoteReference"/>
          <w:rFonts w:eastAsia="Times New Roman"/>
          <w:sz w:val="24"/>
          <w:szCs w:val="24"/>
        </w:rPr>
        <w:footnoteRef/>
      </w:r>
      <w:r w:rsidRPr="7403D796">
        <w:rPr>
          <w:rFonts w:eastAsia="Times New Roman"/>
          <w:sz w:val="24"/>
          <w:szCs w:val="24"/>
        </w:rPr>
        <w:t xml:space="preserve"> </w:t>
      </w:r>
      <w:r w:rsidR="00FE63C6" w:rsidRPr="00FE63C6">
        <w:rPr>
          <w:i/>
          <w:iCs/>
          <w:sz w:val="24"/>
          <w:szCs w:val="24"/>
        </w:rPr>
        <w:t>Loi sur l’immigration et la protection des réfugiés</w:t>
      </w:r>
      <w:r w:rsidR="00FE63C6" w:rsidRPr="00FE63C6">
        <w:rPr>
          <w:sz w:val="24"/>
          <w:szCs w:val="24"/>
        </w:rPr>
        <w:t>, LC</w:t>
      </w:r>
      <w:r w:rsidR="00644B0D">
        <w:rPr>
          <w:sz w:val="24"/>
          <w:szCs w:val="24"/>
        </w:rPr>
        <w:t> </w:t>
      </w:r>
      <w:r w:rsidR="00FE63C6" w:rsidRPr="00FE63C6">
        <w:rPr>
          <w:sz w:val="24"/>
          <w:szCs w:val="24"/>
        </w:rPr>
        <w:t>2001, c 27 [LIPR</w:t>
      </w:r>
      <w:r w:rsidR="3582B6DA" w:rsidRPr="7403D796">
        <w:rPr>
          <w:rFonts w:eastAsia="Times New Roman"/>
          <w:sz w:val="24"/>
          <w:szCs w:val="24"/>
        </w:rPr>
        <w:t>].</w:t>
      </w:r>
    </w:p>
  </w:footnote>
  <w:footnote w:id="3">
    <w:p w14:paraId="29350F5E" w14:textId="1CC24BF6" w:rsidR="004A73B4" w:rsidRDefault="004A73B4">
      <w:pPr>
        <w:pStyle w:val="FootnoteText"/>
      </w:pPr>
      <w:r w:rsidRPr="7403D796">
        <w:rPr>
          <w:rStyle w:val="FootnoteReference"/>
          <w:rFonts w:eastAsia="Times New Roman"/>
          <w:sz w:val="24"/>
          <w:szCs w:val="24"/>
        </w:rPr>
        <w:footnoteRef/>
      </w:r>
      <w:r w:rsidRPr="7403D796">
        <w:rPr>
          <w:rFonts w:eastAsia="Times New Roman"/>
          <w:sz w:val="24"/>
          <w:szCs w:val="24"/>
        </w:rPr>
        <w:t xml:space="preserve"> </w:t>
      </w:r>
      <w:r w:rsidRPr="004A73B4">
        <w:rPr>
          <w:i/>
          <w:iCs/>
          <w:sz w:val="24"/>
          <w:szCs w:val="24"/>
        </w:rPr>
        <w:t>Charte canadienne des droits et libertés</w:t>
      </w:r>
      <w:r w:rsidRPr="004A73B4">
        <w:rPr>
          <w:sz w:val="24"/>
          <w:szCs w:val="24"/>
        </w:rPr>
        <w:t xml:space="preserve">, partie I de la </w:t>
      </w:r>
      <w:r w:rsidRPr="004A73B4">
        <w:rPr>
          <w:i/>
          <w:iCs/>
          <w:sz w:val="24"/>
          <w:szCs w:val="24"/>
        </w:rPr>
        <w:t>Loi constitutionnelle de 1982</w:t>
      </w:r>
      <w:r w:rsidRPr="004A73B4">
        <w:rPr>
          <w:sz w:val="24"/>
          <w:szCs w:val="24"/>
        </w:rPr>
        <w:t xml:space="preserve">, constituant l’annexe B de la </w:t>
      </w:r>
      <w:r w:rsidRPr="004A73B4">
        <w:rPr>
          <w:i/>
          <w:iCs/>
          <w:sz w:val="24"/>
          <w:szCs w:val="24"/>
        </w:rPr>
        <w:t xml:space="preserve">Loi de 1982 sur le Canada </w:t>
      </w:r>
      <w:r w:rsidRPr="004A73B4">
        <w:rPr>
          <w:sz w:val="24"/>
          <w:szCs w:val="24"/>
        </w:rPr>
        <w:t>(R-U), 1982, c 11 [</w:t>
      </w:r>
      <w:r w:rsidRPr="004A73B4">
        <w:rPr>
          <w:i/>
          <w:iCs/>
          <w:sz w:val="24"/>
          <w:szCs w:val="24"/>
        </w:rPr>
        <w:t>Charte canadienne</w:t>
      </w:r>
      <w:r w:rsidR="3582B6DA" w:rsidRPr="004A73B4">
        <w:rPr>
          <w:sz w:val="24"/>
          <w:szCs w:val="24"/>
        </w:rPr>
        <w:t>].</w:t>
      </w:r>
    </w:p>
  </w:footnote>
  <w:footnote w:id="4">
    <w:p w14:paraId="04F7912A" w14:textId="34B3B47E" w:rsidR="4D21FB42" w:rsidRDefault="4D21FB42" w:rsidP="4D21FB42">
      <w:pPr>
        <w:pStyle w:val="FootnoteText"/>
      </w:pPr>
      <w:r w:rsidRPr="7403D796">
        <w:rPr>
          <w:rStyle w:val="FootnoteReference"/>
          <w:rFonts w:eastAsia="Times New Roman"/>
          <w:sz w:val="24"/>
          <w:szCs w:val="24"/>
        </w:rPr>
        <w:footnoteRef/>
      </w:r>
      <w:r w:rsidR="0AAADEAD" w:rsidRPr="7403D796">
        <w:rPr>
          <w:rFonts w:eastAsia="Times New Roman"/>
          <w:i/>
          <w:sz w:val="24"/>
          <w:szCs w:val="24"/>
        </w:rPr>
        <w:t>Pacte international relatif aux droits civils et politiques</w:t>
      </w:r>
      <w:r w:rsidR="0AAADEAD" w:rsidRPr="7403D796">
        <w:rPr>
          <w:rFonts w:eastAsia="Times New Roman"/>
          <w:sz w:val="24"/>
          <w:szCs w:val="24"/>
        </w:rPr>
        <w:t>, 19 décembre 1966, 999 RTNU</w:t>
      </w:r>
      <w:r w:rsidR="00644B0D">
        <w:rPr>
          <w:rFonts w:eastAsia="Times New Roman"/>
          <w:sz w:val="24"/>
          <w:szCs w:val="24"/>
        </w:rPr>
        <w:t> </w:t>
      </w:r>
      <w:r w:rsidR="0AAADEAD" w:rsidRPr="7403D796">
        <w:rPr>
          <w:rFonts w:eastAsia="Times New Roman"/>
          <w:sz w:val="24"/>
          <w:szCs w:val="24"/>
        </w:rPr>
        <w:t>171 (entrée en vigueur</w:t>
      </w:r>
      <w:r w:rsidR="00644B0D">
        <w:rPr>
          <w:rFonts w:eastAsia="Times New Roman"/>
          <w:sz w:val="24"/>
          <w:szCs w:val="24"/>
        </w:rPr>
        <w:t> </w:t>
      </w:r>
      <w:r w:rsidR="0AAADEAD" w:rsidRPr="7403D796">
        <w:rPr>
          <w:rFonts w:eastAsia="Times New Roman"/>
          <w:sz w:val="24"/>
          <w:szCs w:val="24"/>
        </w:rPr>
        <w:t>: 23 mars 1976) [</w:t>
      </w:r>
      <w:r w:rsidR="0AAADEAD" w:rsidRPr="0AAADEAD">
        <w:rPr>
          <w:rFonts w:eastAsia="Times New Roman"/>
          <w:i/>
          <w:iCs/>
          <w:sz w:val="24"/>
          <w:szCs w:val="24"/>
        </w:rPr>
        <w:t>Pacte</w:t>
      </w:r>
      <w:r w:rsidR="0AAADEAD" w:rsidRPr="7403D796">
        <w:rPr>
          <w:rFonts w:eastAsia="Times New Roman"/>
          <w:sz w:val="24"/>
          <w:szCs w:val="24"/>
        </w:rPr>
        <w:t>].</w:t>
      </w:r>
    </w:p>
  </w:footnote>
  <w:footnote w:id="5">
    <w:p w14:paraId="5BBBAE01" w14:textId="5D9C42CE" w:rsidR="004D27EC" w:rsidRPr="00F52076" w:rsidRDefault="004D27EC">
      <w:pPr>
        <w:pStyle w:val="FootnoteText"/>
        <w:rPr>
          <w:sz w:val="24"/>
          <w:szCs w:val="24"/>
        </w:rPr>
      </w:pPr>
      <w:r w:rsidRPr="00F52076">
        <w:rPr>
          <w:rStyle w:val="FootnoteReference"/>
          <w:sz w:val="24"/>
          <w:szCs w:val="24"/>
        </w:rPr>
        <w:footnoteRef/>
      </w:r>
      <w:r w:rsidRPr="00F52076">
        <w:rPr>
          <w:sz w:val="24"/>
          <w:szCs w:val="24"/>
        </w:rPr>
        <w:t xml:space="preserve"> </w:t>
      </w:r>
      <w:r w:rsidR="001722FB" w:rsidRPr="00F52076">
        <w:rPr>
          <w:i/>
          <w:iCs/>
          <w:sz w:val="24"/>
          <w:szCs w:val="24"/>
        </w:rPr>
        <w:t>Demande</w:t>
      </w:r>
      <w:r w:rsidR="00644B0D">
        <w:rPr>
          <w:i/>
          <w:iCs/>
          <w:sz w:val="24"/>
          <w:szCs w:val="24"/>
        </w:rPr>
        <w:t> </w:t>
      </w:r>
      <w:r w:rsidR="001722FB" w:rsidRPr="00F52076">
        <w:rPr>
          <w:i/>
          <w:iCs/>
          <w:sz w:val="24"/>
          <w:szCs w:val="24"/>
        </w:rPr>
        <w:t xml:space="preserve">EP00133756 par Janna N. Chowdhury </w:t>
      </w:r>
      <w:r w:rsidR="001722FB" w:rsidRPr="00F52076">
        <w:rPr>
          <w:sz w:val="24"/>
          <w:szCs w:val="24"/>
        </w:rPr>
        <w:t>(25 novembre 2019), agent d’immigration A. Ali, Vancouver aux para</w:t>
      </w:r>
      <w:r w:rsidR="00644B0D">
        <w:rPr>
          <w:sz w:val="24"/>
          <w:szCs w:val="24"/>
        </w:rPr>
        <w:t> </w:t>
      </w:r>
      <w:r w:rsidR="001722FB" w:rsidRPr="00F52076">
        <w:rPr>
          <w:sz w:val="24"/>
          <w:szCs w:val="24"/>
        </w:rPr>
        <w:t>8, 9, 16 et 21 [</w:t>
      </w:r>
      <w:r w:rsidR="001722FB" w:rsidRPr="00F52076">
        <w:rPr>
          <w:i/>
          <w:iCs/>
          <w:sz w:val="24"/>
          <w:szCs w:val="24"/>
        </w:rPr>
        <w:t>Chowdhury</w:t>
      </w:r>
      <w:r w:rsidR="001722FB" w:rsidRPr="00F52076">
        <w:rPr>
          <w:sz w:val="24"/>
          <w:szCs w:val="24"/>
        </w:rPr>
        <w:t xml:space="preserve">, agent d’immigration].  </w:t>
      </w:r>
    </w:p>
  </w:footnote>
  <w:footnote w:id="6">
    <w:p w14:paraId="69B33DDA" w14:textId="30AB7EBB" w:rsidR="00EC4667" w:rsidRPr="00F52076" w:rsidRDefault="00EC4667">
      <w:pPr>
        <w:pStyle w:val="FootnoteText"/>
        <w:rPr>
          <w:sz w:val="24"/>
          <w:szCs w:val="24"/>
        </w:rPr>
      </w:pPr>
      <w:r w:rsidRPr="00F52076">
        <w:rPr>
          <w:rStyle w:val="FootnoteReference"/>
          <w:sz w:val="24"/>
          <w:szCs w:val="24"/>
        </w:rPr>
        <w:footnoteRef/>
      </w:r>
      <w:r w:rsidRPr="00F52076">
        <w:rPr>
          <w:sz w:val="24"/>
          <w:szCs w:val="24"/>
        </w:rPr>
        <w:t xml:space="preserve"> </w:t>
      </w:r>
      <w:r w:rsidRPr="00F52076">
        <w:rPr>
          <w:i/>
          <w:iCs/>
          <w:sz w:val="24"/>
          <w:szCs w:val="24"/>
        </w:rPr>
        <w:t xml:space="preserve">Ibid </w:t>
      </w:r>
      <w:r w:rsidRPr="00F52076">
        <w:rPr>
          <w:sz w:val="24"/>
          <w:szCs w:val="24"/>
        </w:rPr>
        <w:t>au para</w:t>
      </w:r>
      <w:r w:rsidR="00644B0D">
        <w:rPr>
          <w:sz w:val="24"/>
          <w:szCs w:val="24"/>
        </w:rPr>
        <w:t> </w:t>
      </w:r>
      <w:r w:rsidRPr="00F52076">
        <w:rPr>
          <w:sz w:val="24"/>
          <w:szCs w:val="24"/>
        </w:rPr>
        <w:t>17.</w:t>
      </w:r>
    </w:p>
  </w:footnote>
  <w:footnote w:id="7">
    <w:p w14:paraId="157FC38E" w14:textId="3A319F9F" w:rsidR="000E622B" w:rsidRPr="00F52076" w:rsidRDefault="000E622B">
      <w:pPr>
        <w:pStyle w:val="FootnoteText"/>
        <w:rPr>
          <w:sz w:val="24"/>
          <w:szCs w:val="24"/>
        </w:rPr>
      </w:pPr>
      <w:r w:rsidRPr="00F52076">
        <w:rPr>
          <w:rStyle w:val="FootnoteReference"/>
          <w:sz w:val="24"/>
          <w:szCs w:val="24"/>
        </w:rPr>
        <w:footnoteRef/>
      </w:r>
      <w:r w:rsidRPr="00F52076">
        <w:rPr>
          <w:sz w:val="24"/>
          <w:szCs w:val="24"/>
        </w:rPr>
        <w:t xml:space="preserve"> </w:t>
      </w:r>
      <w:r w:rsidR="00510BEB" w:rsidRPr="00F52076">
        <w:rPr>
          <w:i/>
          <w:iCs/>
          <w:sz w:val="24"/>
          <w:szCs w:val="24"/>
        </w:rPr>
        <w:t>Chowdhury</w:t>
      </w:r>
      <w:r w:rsidR="00510BEB" w:rsidRPr="00F52076">
        <w:rPr>
          <w:sz w:val="24"/>
          <w:szCs w:val="24"/>
        </w:rPr>
        <w:t xml:space="preserve">, agent d’immigration, </w:t>
      </w:r>
      <w:r w:rsidR="00510BEB" w:rsidRPr="003B6AAE">
        <w:rPr>
          <w:i/>
          <w:iCs/>
          <w:sz w:val="24"/>
          <w:szCs w:val="24"/>
        </w:rPr>
        <w:t>supra</w:t>
      </w:r>
      <w:r w:rsidR="00E86FA4">
        <w:rPr>
          <w:sz w:val="24"/>
          <w:szCs w:val="24"/>
        </w:rPr>
        <w:t xml:space="preserve"> </w:t>
      </w:r>
      <w:r w:rsidR="00510BEB" w:rsidRPr="003B6AAE">
        <w:rPr>
          <w:sz w:val="24"/>
          <w:szCs w:val="24"/>
        </w:rPr>
        <w:t>note</w:t>
      </w:r>
      <w:r w:rsidR="00644B0D">
        <w:rPr>
          <w:sz w:val="24"/>
          <w:szCs w:val="24"/>
        </w:rPr>
        <w:t> </w:t>
      </w:r>
      <w:r w:rsidR="3582B6DA" w:rsidRPr="00F52076">
        <w:rPr>
          <w:sz w:val="24"/>
          <w:szCs w:val="24"/>
        </w:rPr>
        <w:t>4</w:t>
      </w:r>
      <w:r w:rsidR="003B6AAE">
        <w:rPr>
          <w:sz w:val="24"/>
          <w:szCs w:val="24"/>
        </w:rPr>
        <w:t xml:space="preserve"> </w:t>
      </w:r>
      <w:r w:rsidR="00510BEB" w:rsidRPr="00F52076">
        <w:rPr>
          <w:sz w:val="24"/>
          <w:szCs w:val="24"/>
        </w:rPr>
        <w:t>aux para</w:t>
      </w:r>
      <w:r w:rsidR="00644B0D">
        <w:rPr>
          <w:sz w:val="24"/>
          <w:szCs w:val="24"/>
        </w:rPr>
        <w:t> </w:t>
      </w:r>
      <w:r w:rsidR="00510BEB" w:rsidRPr="00F52076">
        <w:rPr>
          <w:sz w:val="24"/>
          <w:szCs w:val="24"/>
        </w:rPr>
        <w:t xml:space="preserve">13 et 23.  </w:t>
      </w:r>
    </w:p>
  </w:footnote>
  <w:footnote w:id="8">
    <w:p w14:paraId="06D0CF61" w14:textId="3E2992BE" w:rsidR="00F52625" w:rsidRPr="00F52076" w:rsidRDefault="00F52625">
      <w:pPr>
        <w:pStyle w:val="FootnoteText"/>
        <w:rPr>
          <w:i/>
          <w:iCs/>
          <w:sz w:val="24"/>
          <w:szCs w:val="24"/>
        </w:rPr>
      </w:pPr>
      <w:r w:rsidRPr="00F52076">
        <w:rPr>
          <w:rStyle w:val="FootnoteReference"/>
          <w:sz w:val="24"/>
          <w:szCs w:val="24"/>
        </w:rPr>
        <w:footnoteRef/>
      </w:r>
      <w:r w:rsidRPr="00F52076">
        <w:rPr>
          <w:sz w:val="24"/>
          <w:szCs w:val="24"/>
        </w:rPr>
        <w:t xml:space="preserve"> </w:t>
      </w:r>
      <w:r w:rsidRPr="00F52076">
        <w:rPr>
          <w:i/>
          <w:iCs/>
          <w:sz w:val="24"/>
          <w:szCs w:val="24"/>
        </w:rPr>
        <w:t>Ibid</w:t>
      </w:r>
      <w:r w:rsidRPr="00F52076">
        <w:rPr>
          <w:sz w:val="24"/>
          <w:szCs w:val="24"/>
        </w:rPr>
        <w:t xml:space="preserve"> aux para</w:t>
      </w:r>
      <w:r w:rsidR="00644B0D">
        <w:rPr>
          <w:sz w:val="24"/>
          <w:szCs w:val="24"/>
        </w:rPr>
        <w:t> </w:t>
      </w:r>
      <w:r w:rsidRPr="00F52076">
        <w:rPr>
          <w:sz w:val="24"/>
          <w:szCs w:val="24"/>
        </w:rPr>
        <w:t xml:space="preserve">28, 37 et 38.  </w:t>
      </w:r>
    </w:p>
  </w:footnote>
  <w:footnote w:id="9">
    <w:p w14:paraId="73705A84" w14:textId="18AD6346" w:rsidR="00AD36AC" w:rsidRPr="00F52076" w:rsidRDefault="00AD36AC">
      <w:pPr>
        <w:pStyle w:val="FootnoteText"/>
        <w:rPr>
          <w:sz w:val="24"/>
          <w:szCs w:val="24"/>
        </w:rPr>
      </w:pPr>
      <w:r w:rsidRPr="00F52076">
        <w:rPr>
          <w:rStyle w:val="FootnoteReference"/>
          <w:sz w:val="24"/>
          <w:szCs w:val="24"/>
        </w:rPr>
        <w:footnoteRef/>
      </w:r>
      <w:r w:rsidRPr="00F52076">
        <w:rPr>
          <w:sz w:val="24"/>
          <w:szCs w:val="24"/>
        </w:rPr>
        <w:t xml:space="preserve"> </w:t>
      </w:r>
      <w:r w:rsidRPr="00F52076">
        <w:rPr>
          <w:i/>
          <w:iCs/>
          <w:sz w:val="24"/>
          <w:szCs w:val="24"/>
        </w:rPr>
        <w:t xml:space="preserve">Ibid </w:t>
      </w:r>
      <w:r w:rsidRPr="00F52076">
        <w:rPr>
          <w:sz w:val="24"/>
          <w:szCs w:val="24"/>
        </w:rPr>
        <w:t>au para</w:t>
      </w:r>
      <w:r w:rsidR="00644B0D">
        <w:rPr>
          <w:sz w:val="24"/>
          <w:szCs w:val="24"/>
        </w:rPr>
        <w:t> </w:t>
      </w:r>
      <w:r w:rsidRPr="00F52076">
        <w:rPr>
          <w:sz w:val="24"/>
          <w:szCs w:val="24"/>
        </w:rPr>
        <w:t>29.</w:t>
      </w:r>
    </w:p>
  </w:footnote>
  <w:footnote w:id="10">
    <w:p w14:paraId="65495A1B" w14:textId="66CE560C" w:rsidR="00182AA7" w:rsidRPr="00F52076" w:rsidRDefault="00182AA7">
      <w:pPr>
        <w:pStyle w:val="FootnoteText"/>
        <w:rPr>
          <w:i/>
          <w:iCs/>
          <w:sz w:val="24"/>
          <w:szCs w:val="24"/>
        </w:rPr>
      </w:pPr>
      <w:r w:rsidRPr="00F52076">
        <w:rPr>
          <w:rStyle w:val="FootnoteReference"/>
          <w:sz w:val="24"/>
          <w:szCs w:val="24"/>
        </w:rPr>
        <w:footnoteRef/>
      </w:r>
      <w:r w:rsidRPr="00F52076">
        <w:rPr>
          <w:sz w:val="24"/>
          <w:szCs w:val="24"/>
        </w:rPr>
        <w:t xml:space="preserve"> </w:t>
      </w:r>
      <w:r w:rsidRPr="00F52076">
        <w:rPr>
          <w:i/>
          <w:iCs/>
          <w:sz w:val="24"/>
          <w:szCs w:val="24"/>
        </w:rPr>
        <w:t>Ibid.</w:t>
      </w:r>
    </w:p>
  </w:footnote>
  <w:footnote w:id="11">
    <w:p w14:paraId="2DDBE81D" w14:textId="4EC62356" w:rsidR="00392051" w:rsidRDefault="00392051">
      <w:pPr>
        <w:pStyle w:val="FootnoteText"/>
      </w:pPr>
      <w:r w:rsidRPr="00F52076">
        <w:rPr>
          <w:rStyle w:val="FootnoteReference"/>
          <w:sz w:val="24"/>
          <w:szCs w:val="24"/>
        </w:rPr>
        <w:footnoteRef/>
      </w:r>
      <w:r w:rsidR="1CB0A6BE" w:rsidRPr="1CB0A6BE">
        <w:rPr>
          <w:i/>
          <w:iCs/>
          <w:sz w:val="24"/>
          <w:szCs w:val="24"/>
        </w:rPr>
        <w:t xml:space="preserve"> Ibid</w:t>
      </w:r>
      <w:r w:rsidR="1CB0A6BE" w:rsidRPr="00F52076">
        <w:rPr>
          <w:sz w:val="24"/>
          <w:szCs w:val="24"/>
        </w:rPr>
        <w:t xml:space="preserve"> au para</w:t>
      </w:r>
      <w:r w:rsidR="00644B0D">
        <w:rPr>
          <w:sz w:val="24"/>
          <w:szCs w:val="24"/>
        </w:rPr>
        <w:t> </w:t>
      </w:r>
      <w:r w:rsidR="1CB0A6BE" w:rsidRPr="00F52076">
        <w:rPr>
          <w:sz w:val="24"/>
          <w:szCs w:val="24"/>
        </w:rPr>
        <w:t>31.</w:t>
      </w:r>
      <w:r w:rsidR="1CB0A6BE" w:rsidRPr="7403D796">
        <w:rPr>
          <w:rFonts w:eastAsia="Times New Roman"/>
          <w:sz w:val="24"/>
          <w:szCs w:val="24"/>
        </w:rPr>
        <w:t xml:space="preserve">  </w:t>
      </w:r>
    </w:p>
  </w:footnote>
  <w:footnote w:id="12">
    <w:p w14:paraId="5438852D" w14:textId="224668D8" w:rsidR="00192AF0" w:rsidRPr="00F52076" w:rsidRDefault="00192AF0">
      <w:pPr>
        <w:pStyle w:val="FootnoteText"/>
        <w:rPr>
          <w:sz w:val="24"/>
          <w:szCs w:val="24"/>
        </w:rPr>
      </w:pPr>
      <w:r w:rsidRPr="00F52076">
        <w:rPr>
          <w:rStyle w:val="FootnoteReference"/>
          <w:sz w:val="24"/>
          <w:szCs w:val="24"/>
        </w:rPr>
        <w:footnoteRef/>
      </w:r>
      <w:r w:rsidR="1CB0A6BE" w:rsidRPr="00F52076">
        <w:rPr>
          <w:sz w:val="24"/>
          <w:szCs w:val="24"/>
        </w:rPr>
        <w:t xml:space="preserve"> </w:t>
      </w:r>
      <w:r w:rsidR="1CB0A6BE" w:rsidRPr="1CB0A6BE">
        <w:rPr>
          <w:i/>
          <w:iCs/>
          <w:sz w:val="24"/>
          <w:szCs w:val="24"/>
        </w:rPr>
        <w:t>Ibid</w:t>
      </w:r>
      <w:r w:rsidR="1CB0A6BE" w:rsidRPr="00F52076">
        <w:rPr>
          <w:sz w:val="24"/>
          <w:szCs w:val="24"/>
        </w:rPr>
        <w:t xml:space="preserve"> au para</w:t>
      </w:r>
      <w:r w:rsidR="00644B0D">
        <w:rPr>
          <w:sz w:val="24"/>
          <w:szCs w:val="24"/>
        </w:rPr>
        <w:t> </w:t>
      </w:r>
      <w:r w:rsidR="1CB0A6BE" w:rsidRPr="00F52076">
        <w:rPr>
          <w:sz w:val="24"/>
          <w:szCs w:val="24"/>
        </w:rPr>
        <w:t xml:space="preserve">32.  </w:t>
      </w:r>
    </w:p>
  </w:footnote>
  <w:footnote w:id="13">
    <w:p w14:paraId="51D26341" w14:textId="30A2B2CC" w:rsidR="00192AF0" w:rsidRPr="00050BB9" w:rsidRDefault="00192AF0">
      <w:pPr>
        <w:pStyle w:val="FootnoteText"/>
        <w:rPr>
          <w:i/>
          <w:iCs/>
        </w:rPr>
      </w:pPr>
      <w:r w:rsidRPr="00F52076">
        <w:rPr>
          <w:rStyle w:val="FootnoteReference"/>
          <w:sz w:val="24"/>
          <w:szCs w:val="24"/>
        </w:rPr>
        <w:footnoteRef/>
      </w:r>
      <w:r w:rsidRPr="00F52076">
        <w:rPr>
          <w:sz w:val="24"/>
          <w:szCs w:val="24"/>
        </w:rPr>
        <w:t xml:space="preserve"> </w:t>
      </w:r>
      <w:r w:rsidRPr="00F52076">
        <w:rPr>
          <w:i/>
          <w:iCs/>
          <w:sz w:val="24"/>
          <w:szCs w:val="24"/>
        </w:rPr>
        <w:t>Ibid.</w:t>
      </w:r>
    </w:p>
  </w:footnote>
  <w:footnote w:id="14">
    <w:p w14:paraId="44712511" w14:textId="44294F25" w:rsidR="004A7492" w:rsidRPr="00CD6F28" w:rsidRDefault="004A7492" w:rsidP="004A7492">
      <w:pPr>
        <w:pStyle w:val="FootnoteText"/>
        <w:rPr>
          <w:sz w:val="24"/>
          <w:szCs w:val="24"/>
        </w:rPr>
      </w:pPr>
      <w:r w:rsidRPr="00CD6F28">
        <w:rPr>
          <w:rStyle w:val="FootnoteReference"/>
          <w:sz w:val="24"/>
          <w:szCs w:val="24"/>
        </w:rPr>
        <w:footnoteRef/>
      </w:r>
      <w:r w:rsidR="765A1494" w:rsidRPr="00CD6F28">
        <w:rPr>
          <w:sz w:val="24"/>
          <w:szCs w:val="24"/>
        </w:rPr>
        <w:t xml:space="preserve"> </w:t>
      </w:r>
      <w:r w:rsidR="765A1494" w:rsidRPr="765A1494">
        <w:rPr>
          <w:i/>
          <w:iCs/>
          <w:sz w:val="24"/>
          <w:szCs w:val="24"/>
        </w:rPr>
        <w:t>Chowdhury c</w:t>
      </w:r>
      <w:r w:rsidR="765A1494" w:rsidRPr="00CD6F28">
        <w:rPr>
          <w:sz w:val="24"/>
          <w:szCs w:val="24"/>
        </w:rPr>
        <w:t xml:space="preserve"> </w:t>
      </w:r>
      <w:r w:rsidR="765A1494" w:rsidRPr="765A1494">
        <w:rPr>
          <w:i/>
          <w:iCs/>
          <w:sz w:val="24"/>
          <w:szCs w:val="24"/>
        </w:rPr>
        <w:t>Canada (Ministre de la Citoyenneté et de l’Immigration),</w:t>
      </w:r>
      <w:r w:rsidR="765A1494" w:rsidRPr="00CD6F28">
        <w:rPr>
          <w:sz w:val="24"/>
          <w:szCs w:val="24"/>
        </w:rPr>
        <w:t xml:space="preserve"> 2020 CF 1987</w:t>
      </w:r>
      <w:r w:rsidR="765A1494">
        <w:rPr>
          <w:sz w:val="24"/>
          <w:szCs w:val="24"/>
        </w:rPr>
        <w:t>. [</w:t>
      </w:r>
      <w:r w:rsidR="765A1494" w:rsidRPr="765A1494">
        <w:rPr>
          <w:i/>
          <w:iCs/>
          <w:sz w:val="24"/>
          <w:szCs w:val="24"/>
        </w:rPr>
        <w:t>Chowdhury</w:t>
      </w:r>
      <w:r w:rsidR="765A1494">
        <w:rPr>
          <w:sz w:val="24"/>
          <w:szCs w:val="24"/>
        </w:rPr>
        <w:t xml:space="preserve"> CF] aux para</w:t>
      </w:r>
      <w:r w:rsidR="00644B0D">
        <w:rPr>
          <w:sz w:val="24"/>
          <w:szCs w:val="24"/>
        </w:rPr>
        <w:t> </w:t>
      </w:r>
      <w:r w:rsidR="765A1494" w:rsidRPr="00CD6F28">
        <w:rPr>
          <w:sz w:val="24"/>
          <w:szCs w:val="24"/>
        </w:rPr>
        <w:t>9-10</w:t>
      </w:r>
      <w:r w:rsidR="765A1494">
        <w:rPr>
          <w:sz w:val="24"/>
          <w:szCs w:val="24"/>
        </w:rPr>
        <w:t>.</w:t>
      </w:r>
    </w:p>
  </w:footnote>
  <w:footnote w:id="15">
    <w:p w14:paraId="093D3047" w14:textId="0230EEB4" w:rsidR="1B399EB4" w:rsidRDefault="1B399EB4" w:rsidP="1B399EB4">
      <w:pPr>
        <w:jc w:val="both"/>
        <w:rPr>
          <w:rFonts w:eastAsia="Times New Roman"/>
          <w:i/>
        </w:rPr>
      </w:pPr>
      <w:r w:rsidRPr="00CD6F28">
        <w:rPr>
          <w:rStyle w:val="FootnoteReference"/>
        </w:rPr>
        <w:footnoteRef/>
      </w:r>
      <w:r w:rsidR="0120C5C9" w:rsidRPr="00CD6F28">
        <w:t xml:space="preserve"> </w:t>
      </w:r>
      <w:r w:rsidR="0120C5C9" w:rsidRPr="0120C5C9">
        <w:rPr>
          <w:rFonts w:eastAsia="Times New Roman"/>
          <w:i/>
          <w:iCs/>
        </w:rPr>
        <w:t>Ibid</w:t>
      </w:r>
      <w:r w:rsidR="4C4BE427" w:rsidRPr="4C4BE427">
        <w:rPr>
          <w:rFonts w:eastAsia="Times New Roman"/>
        </w:rPr>
        <w:t xml:space="preserve"> </w:t>
      </w:r>
      <w:r w:rsidR="08CEE752" w:rsidRPr="08CEE752">
        <w:rPr>
          <w:rFonts w:eastAsia="Times New Roman"/>
        </w:rPr>
        <w:t>para</w:t>
      </w:r>
      <w:r w:rsidR="00644B0D">
        <w:rPr>
          <w:rFonts w:eastAsia="Times New Roman"/>
        </w:rPr>
        <w:t> </w:t>
      </w:r>
      <w:r w:rsidR="08CEE752" w:rsidRPr="08CEE752">
        <w:rPr>
          <w:rFonts w:eastAsia="Times New Roman"/>
        </w:rPr>
        <w:t>14.</w:t>
      </w:r>
    </w:p>
  </w:footnote>
  <w:footnote w:id="16">
    <w:p w14:paraId="4C2984DF" w14:textId="4CA77DAB" w:rsidR="00304B49" w:rsidRDefault="00304B49">
      <w:pPr>
        <w:pStyle w:val="FootnoteText"/>
      </w:pPr>
      <w:r w:rsidRPr="7403D796">
        <w:rPr>
          <w:rStyle w:val="FootnoteReference"/>
          <w:rFonts w:eastAsia="Times New Roman"/>
          <w:sz w:val="24"/>
          <w:szCs w:val="24"/>
        </w:rPr>
        <w:footnoteRef/>
      </w:r>
      <w:r w:rsidRPr="7403D796">
        <w:rPr>
          <w:rFonts w:eastAsia="Times New Roman"/>
          <w:sz w:val="24"/>
          <w:szCs w:val="24"/>
        </w:rPr>
        <w:t xml:space="preserve"> </w:t>
      </w:r>
      <w:r w:rsidR="00423ABE" w:rsidRPr="00443A1D">
        <w:rPr>
          <w:i/>
          <w:iCs/>
          <w:sz w:val="24"/>
          <w:szCs w:val="24"/>
        </w:rPr>
        <w:t>Code criminel</w:t>
      </w:r>
      <w:r w:rsidR="00423ABE" w:rsidRPr="00443A1D">
        <w:rPr>
          <w:sz w:val="24"/>
          <w:szCs w:val="24"/>
        </w:rPr>
        <w:t>, LRC</w:t>
      </w:r>
      <w:r w:rsidR="00644B0D">
        <w:rPr>
          <w:sz w:val="24"/>
          <w:szCs w:val="24"/>
        </w:rPr>
        <w:t> </w:t>
      </w:r>
      <w:r w:rsidR="00423ABE" w:rsidRPr="00443A1D">
        <w:rPr>
          <w:sz w:val="24"/>
          <w:szCs w:val="24"/>
        </w:rPr>
        <w:t>1985, c C-46</w:t>
      </w:r>
      <w:r w:rsidR="00443A1D" w:rsidRPr="00443A1D">
        <w:rPr>
          <w:sz w:val="24"/>
          <w:szCs w:val="24"/>
        </w:rPr>
        <w:t>.</w:t>
      </w:r>
    </w:p>
  </w:footnote>
  <w:footnote w:id="17">
    <w:p w14:paraId="3F88B1EF" w14:textId="21E71C93" w:rsidR="1B399EB4" w:rsidRPr="00F52076" w:rsidRDefault="1B399EB4" w:rsidP="1B399EB4">
      <w:pPr>
        <w:jc w:val="both"/>
        <w:rPr>
          <w:rFonts w:eastAsia="Times New Roman"/>
        </w:rPr>
      </w:pPr>
      <w:r w:rsidRPr="00F52076">
        <w:rPr>
          <w:rStyle w:val="FootnoteReference"/>
        </w:rPr>
        <w:footnoteRef/>
      </w:r>
      <w:r w:rsidRPr="00F52076">
        <w:t xml:space="preserve"> </w:t>
      </w:r>
      <w:r w:rsidRPr="00545D93">
        <w:rPr>
          <w:rFonts w:eastAsia="Times New Roman"/>
          <w:i/>
        </w:rPr>
        <w:t xml:space="preserve">Chowdhury </w:t>
      </w:r>
      <w:r w:rsidRPr="00F52076">
        <w:rPr>
          <w:rFonts w:eastAsia="Times New Roman"/>
        </w:rPr>
        <w:t>CF</w:t>
      </w:r>
      <w:r w:rsidR="00545D93">
        <w:rPr>
          <w:rFonts w:eastAsia="Times New Roman"/>
        </w:rPr>
        <w:t xml:space="preserve">, </w:t>
      </w:r>
      <w:r w:rsidR="00545D93" w:rsidRPr="00545D93">
        <w:rPr>
          <w:rFonts w:eastAsia="Times New Roman"/>
          <w:i/>
          <w:iCs/>
        </w:rPr>
        <w:t>supra</w:t>
      </w:r>
      <w:r w:rsidR="00545D93">
        <w:rPr>
          <w:rFonts w:eastAsia="Times New Roman"/>
        </w:rPr>
        <w:t xml:space="preserve"> note</w:t>
      </w:r>
      <w:r w:rsidR="00644B0D">
        <w:rPr>
          <w:rFonts w:eastAsia="Times New Roman"/>
        </w:rPr>
        <w:t> </w:t>
      </w:r>
      <w:r w:rsidR="4C4BE427">
        <w:rPr>
          <w:rFonts w:eastAsia="Times New Roman"/>
        </w:rPr>
        <w:t>13</w:t>
      </w:r>
      <w:r w:rsidR="00545D93">
        <w:rPr>
          <w:rFonts w:eastAsia="Times New Roman"/>
        </w:rPr>
        <w:t xml:space="preserve"> au para</w:t>
      </w:r>
      <w:r w:rsidR="00644B0D">
        <w:rPr>
          <w:rFonts w:eastAsia="Times New Roman"/>
        </w:rPr>
        <w:t> </w:t>
      </w:r>
      <w:r w:rsidRPr="00F52076">
        <w:rPr>
          <w:rFonts w:eastAsia="Times New Roman"/>
        </w:rPr>
        <w:t>16</w:t>
      </w:r>
      <w:r w:rsidR="00545D93">
        <w:rPr>
          <w:rFonts w:eastAsia="Times New Roman"/>
        </w:rPr>
        <w:t>.</w:t>
      </w:r>
    </w:p>
  </w:footnote>
  <w:footnote w:id="18">
    <w:p w14:paraId="1EBD0903" w14:textId="7D296E98" w:rsidR="1B399EB4" w:rsidRPr="00F52076" w:rsidRDefault="1B399EB4" w:rsidP="1B399EB4">
      <w:pPr>
        <w:pStyle w:val="FootnoteText"/>
        <w:rPr>
          <w:sz w:val="24"/>
          <w:szCs w:val="24"/>
        </w:rPr>
      </w:pPr>
      <w:r w:rsidRPr="00F52076">
        <w:rPr>
          <w:rStyle w:val="FootnoteReference"/>
          <w:sz w:val="24"/>
          <w:szCs w:val="24"/>
        </w:rPr>
        <w:footnoteRef/>
      </w:r>
      <w:r w:rsidR="2B8955E1" w:rsidRPr="00F52076">
        <w:rPr>
          <w:sz w:val="24"/>
          <w:szCs w:val="24"/>
        </w:rPr>
        <w:t xml:space="preserve"> </w:t>
      </w:r>
      <w:r w:rsidR="2B8955E1" w:rsidRPr="2B8955E1">
        <w:rPr>
          <w:i/>
          <w:iCs/>
          <w:sz w:val="24"/>
          <w:szCs w:val="24"/>
        </w:rPr>
        <w:t>Damir c Canada (Citoyenneté et Immigration)</w:t>
      </w:r>
      <w:r w:rsidR="2B8955E1" w:rsidRPr="00F52076">
        <w:rPr>
          <w:sz w:val="24"/>
          <w:szCs w:val="24"/>
        </w:rPr>
        <w:t xml:space="preserve">, 2018 CF 48 au </w:t>
      </w:r>
      <w:r w:rsidR="2B8955E1">
        <w:rPr>
          <w:sz w:val="24"/>
          <w:szCs w:val="24"/>
        </w:rPr>
        <w:t>para</w:t>
      </w:r>
      <w:r w:rsidR="00644B0D">
        <w:rPr>
          <w:sz w:val="24"/>
          <w:szCs w:val="24"/>
        </w:rPr>
        <w:t> </w:t>
      </w:r>
      <w:r w:rsidR="2B8955E1" w:rsidRPr="00F52076">
        <w:rPr>
          <w:sz w:val="24"/>
          <w:szCs w:val="24"/>
        </w:rPr>
        <w:t>29</w:t>
      </w:r>
      <w:r w:rsidR="2B8955E1">
        <w:rPr>
          <w:sz w:val="24"/>
          <w:szCs w:val="24"/>
        </w:rPr>
        <w:t>.</w:t>
      </w:r>
    </w:p>
  </w:footnote>
  <w:footnote w:id="19">
    <w:p w14:paraId="4DF91223" w14:textId="453AA15A" w:rsidR="1A2BEA16" w:rsidRDefault="1A2BEA16" w:rsidP="1A2BEA16">
      <w:pPr>
        <w:spacing w:line="240" w:lineRule="auto"/>
        <w:rPr>
          <w:rFonts w:eastAsia="Times New Roman"/>
          <w:color w:val="000000" w:themeColor="text1"/>
        </w:rPr>
      </w:pPr>
      <w:r w:rsidRPr="00F52076">
        <w:rPr>
          <w:rStyle w:val="FootnoteReference"/>
        </w:rPr>
        <w:footnoteRef/>
      </w:r>
      <w:r w:rsidRPr="00F52076">
        <w:t xml:space="preserve"> </w:t>
      </w:r>
      <w:r w:rsidRPr="00545D93">
        <w:rPr>
          <w:rFonts w:eastAsia="Times New Roman"/>
          <w:i/>
        </w:rPr>
        <w:t xml:space="preserve">Chowdhury </w:t>
      </w:r>
      <w:r>
        <w:rPr>
          <w:rFonts w:eastAsia="Times New Roman"/>
        </w:rPr>
        <w:t>CF</w:t>
      </w:r>
      <w:r w:rsidR="00545D93">
        <w:rPr>
          <w:rFonts w:eastAsia="Times New Roman"/>
        </w:rPr>
        <w:t xml:space="preserve">, </w:t>
      </w:r>
      <w:r w:rsidR="00545D93" w:rsidRPr="00545D93">
        <w:rPr>
          <w:rFonts w:eastAsia="Times New Roman"/>
          <w:i/>
          <w:iCs/>
        </w:rPr>
        <w:t>supra</w:t>
      </w:r>
      <w:r w:rsidR="00545D93">
        <w:rPr>
          <w:rFonts w:eastAsia="Times New Roman"/>
        </w:rPr>
        <w:t xml:space="preserve"> note</w:t>
      </w:r>
      <w:r w:rsidR="00644B0D">
        <w:rPr>
          <w:rFonts w:eastAsia="Times New Roman"/>
        </w:rPr>
        <w:t> </w:t>
      </w:r>
      <w:r w:rsidR="4C4BE427">
        <w:rPr>
          <w:rFonts w:eastAsia="Times New Roman"/>
        </w:rPr>
        <w:t>13</w:t>
      </w:r>
      <w:r w:rsidR="00545D93">
        <w:rPr>
          <w:rFonts w:eastAsia="Times New Roman"/>
        </w:rPr>
        <w:t xml:space="preserve"> au para</w:t>
      </w:r>
      <w:r w:rsidR="00644B0D">
        <w:rPr>
          <w:rFonts w:eastAsia="Times New Roman"/>
        </w:rPr>
        <w:t> </w:t>
      </w:r>
      <w:r w:rsidRPr="00F52076">
        <w:rPr>
          <w:rFonts w:eastAsia="Times New Roman"/>
          <w:color w:val="000000" w:themeColor="text1"/>
        </w:rPr>
        <w:t>18</w:t>
      </w:r>
      <w:r w:rsidR="00254175">
        <w:rPr>
          <w:rFonts w:eastAsia="Times New Roman"/>
          <w:color w:val="000000" w:themeColor="text1"/>
        </w:rPr>
        <w:t>.</w:t>
      </w:r>
    </w:p>
  </w:footnote>
  <w:footnote w:id="20">
    <w:p w14:paraId="400CEE24" w14:textId="2A4226C4" w:rsidR="1A2BEA16" w:rsidRPr="00F52076" w:rsidRDefault="1A2BEA16" w:rsidP="1A2BEA16">
      <w:pPr>
        <w:jc w:val="both"/>
      </w:pPr>
      <w:r w:rsidRPr="00F52076">
        <w:rPr>
          <w:rStyle w:val="FootnoteReference"/>
        </w:rPr>
        <w:footnoteRef/>
      </w:r>
      <w:r w:rsidRPr="00F52076">
        <w:t xml:space="preserve"> </w:t>
      </w:r>
      <w:r w:rsidR="00254175">
        <w:rPr>
          <w:rFonts w:eastAsia="Times New Roman"/>
          <w:i/>
          <w:iCs/>
        </w:rPr>
        <w:t>Ibid</w:t>
      </w:r>
      <w:r w:rsidR="00545D93">
        <w:rPr>
          <w:rFonts w:eastAsia="Times New Roman"/>
        </w:rPr>
        <w:t xml:space="preserve"> au para</w:t>
      </w:r>
      <w:r w:rsidR="00644B0D">
        <w:rPr>
          <w:rFonts w:eastAsia="Times New Roman"/>
        </w:rPr>
        <w:t> </w:t>
      </w:r>
      <w:r w:rsidRPr="00F52076">
        <w:rPr>
          <w:rFonts w:eastAsia="Times New Roman"/>
        </w:rPr>
        <w:t>20</w:t>
      </w:r>
      <w:r w:rsidR="00254175">
        <w:rPr>
          <w:rFonts w:eastAsia="Times New Roman"/>
        </w:rPr>
        <w:t>.</w:t>
      </w:r>
    </w:p>
  </w:footnote>
  <w:footnote w:id="21">
    <w:p w14:paraId="2441C32B" w14:textId="46D5E999" w:rsidR="1A2BEA16" w:rsidRPr="00F52076" w:rsidRDefault="1A2BEA16" w:rsidP="1A2BEA16">
      <w:pPr>
        <w:jc w:val="both"/>
      </w:pPr>
      <w:r w:rsidRPr="00F52076">
        <w:rPr>
          <w:rStyle w:val="FootnoteReference"/>
        </w:rPr>
        <w:footnoteRef/>
      </w:r>
      <w:r w:rsidRPr="00F52076">
        <w:t xml:space="preserve"> </w:t>
      </w:r>
      <w:r w:rsidR="001315DA">
        <w:rPr>
          <w:rFonts w:eastAsia="Times New Roman"/>
          <w:i/>
          <w:iCs/>
        </w:rPr>
        <w:t xml:space="preserve">Ibid </w:t>
      </w:r>
      <w:r w:rsidR="001315DA">
        <w:rPr>
          <w:rFonts w:eastAsia="Times New Roman"/>
        </w:rPr>
        <w:t>au para</w:t>
      </w:r>
      <w:r w:rsidR="00644B0D">
        <w:rPr>
          <w:rFonts w:eastAsia="Times New Roman"/>
        </w:rPr>
        <w:t> </w:t>
      </w:r>
      <w:r w:rsidR="001315DA">
        <w:rPr>
          <w:rFonts w:eastAsia="Times New Roman"/>
        </w:rPr>
        <w:t>22.</w:t>
      </w:r>
    </w:p>
  </w:footnote>
  <w:footnote w:id="22">
    <w:p w14:paraId="6A4B17A5" w14:textId="6555F2AB" w:rsidR="1A2BEA16" w:rsidRDefault="1A2BEA16" w:rsidP="1A2BEA16">
      <w:pPr>
        <w:pStyle w:val="FootnoteText"/>
        <w:rPr>
          <w:rFonts w:eastAsia="Times New Roman"/>
          <w:sz w:val="24"/>
          <w:szCs w:val="24"/>
        </w:rPr>
      </w:pPr>
      <w:r w:rsidRPr="00F52076">
        <w:rPr>
          <w:rStyle w:val="FootnoteReference"/>
          <w:sz w:val="24"/>
          <w:szCs w:val="24"/>
        </w:rPr>
        <w:footnoteRef/>
      </w:r>
      <w:r w:rsidR="2B8955E1" w:rsidRPr="00F52076">
        <w:rPr>
          <w:sz w:val="24"/>
          <w:szCs w:val="24"/>
        </w:rPr>
        <w:t xml:space="preserve"> </w:t>
      </w:r>
      <w:r w:rsidR="2B8955E1" w:rsidRPr="2B8955E1">
        <w:rPr>
          <w:rFonts w:eastAsia="Times New Roman"/>
          <w:i/>
          <w:iCs/>
          <w:sz w:val="24"/>
          <w:szCs w:val="24"/>
        </w:rPr>
        <w:t>Najafi c Canada (Sécurité publique et Protection civile)</w:t>
      </w:r>
      <w:r w:rsidR="2B8955E1" w:rsidRPr="00F52076">
        <w:rPr>
          <w:rFonts w:eastAsia="Times New Roman"/>
          <w:sz w:val="24"/>
          <w:szCs w:val="24"/>
        </w:rPr>
        <w:t>, 2014 CAF 262</w:t>
      </w:r>
      <w:r w:rsidR="2B8955E1">
        <w:rPr>
          <w:rFonts w:eastAsia="Times New Roman"/>
          <w:sz w:val="24"/>
          <w:szCs w:val="24"/>
        </w:rPr>
        <w:t xml:space="preserve"> [</w:t>
      </w:r>
      <w:r w:rsidR="2B8955E1" w:rsidRPr="2B8955E1">
        <w:rPr>
          <w:rFonts w:eastAsia="Times New Roman"/>
          <w:i/>
          <w:iCs/>
          <w:sz w:val="24"/>
          <w:szCs w:val="24"/>
        </w:rPr>
        <w:t>Najafi</w:t>
      </w:r>
      <w:r w:rsidR="2B8955E1">
        <w:rPr>
          <w:rFonts w:eastAsia="Times New Roman"/>
          <w:sz w:val="24"/>
          <w:szCs w:val="24"/>
        </w:rPr>
        <w:t>] au para</w:t>
      </w:r>
      <w:r w:rsidR="00644B0D">
        <w:rPr>
          <w:rFonts w:eastAsia="Times New Roman"/>
          <w:sz w:val="24"/>
          <w:szCs w:val="24"/>
        </w:rPr>
        <w:t> </w:t>
      </w:r>
      <w:r w:rsidR="2B8955E1" w:rsidRPr="00F52076">
        <w:rPr>
          <w:rFonts w:eastAsia="Times New Roman"/>
          <w:sz w:val="24"/>
          <w:szCs w:val="24"/>
        </w:rPr>
        <w:t>80</w:t>
      </w:r>
      <w:r w:rsidR="2B8955E1">
        <w:rPr>
          <w:rFonts w:eastAsia="Times New Roman"/>
          <w:sz w:val="24"/>
          <w:szCs w:val="24"/>
        </w:rPr>
        <w:t>.</w:t>
      </w:r>
    </w:p>
  </w:footnote>
  <w:footnote w:id="23">
    <w:p w14:paraId="3DD7B0EA" w14:textId="453A4D02" w:rsidR="1A2BEA16" w:rsidRPr="00F52076" w:rsidRDefault="1A2BEA16" w:rsidP="1A2BEA16">
      <w:pPr>
        <w:pStyle w:val="FootnoteText"/>
        <w:rPr>
          <w:sz w:val="24"/>
          <w:szCs w:val="24"/>
        </w:rPr>
      </w:pPr>
      <w:r w:rsidRPr="00F52076">
        <w:rPr>
          <w:rStyle w:val="FootnoteReference"/>
          <w:sz w:val="24"/>
          <w:szCs w:val="24"/>
        </w:rPr>
        <w:footnoteRef/>
      </w:r>
      <w:r w:rsidR="2B8955E1" w:rsidRPr="00F52076">
        <w:rPr>
          <w:sz w:val="24"/>
          <w:szCs w:val="24"/>
        </w:rPr>
        <w:t xml:space="preserve"> </w:t>
      </w:r>
      <w:r w:rsidR="2B8955E1" w:rsidRPr="2B8955E1">
        <w:rPr>
          <w:rFonts w:eastAsia="Times New Roman"/>
          <w:i/>
          <w:iCs/>
          <w:sz w:val="24"/>
          <w:szCs w:val="24"/>
        </w:rPr>
        <w:t>Rana c</w:t>
      </w:r>
      <w:r w:rsidR="2B8955E1" w:rsidRPr="00F52076">
        <w:rPr>
          <w:rFonts w:eastAsia="Times New Roman"/>
          <w:sz w:val="24"/>
          <w:szCs w:val="24"/>
        </w:rPr>
        <w:t xml:space="preserve"> </w:t>
      </w:r>
      <w:r w:rsidR="2B8955E1" w:rsidRPr="2B8955E1">
        <w:rPr>
          <w:rFonts w:eastAsia="Times New Roman"/>
          <w:i/>
          <w:iCs/>
          <w:sz w:val="24"/>
          <w:szCs w:val="24"/>
        </w:rPr>
        <w:t>Canada (Ministre de la Sécurité publique et de la Protection civile)</w:t>
      </w:r>
      <w:r w:rsidR="2B8955E1" w:rsidRPr="00F52076">
        <w:rPr>
          <w:rFonts w:eastAsia="Times New Roman"/>
          <w:sz w:val="24"/>
          <w:szCs w:val="24"/>
        </w:rPr>
        <w:t xml:space="preserve">, 2018 CF 1080 aux </w:t>
      </w:r>
      <w:r w:rsidR="2B8955E1">
        <w:rPr>
          <w:rFonts w:eastAsia="Times New Roman"/>
          <w:sz w:val="24"/>
          <w:szCs w:val="24"/>
        </w:rPr>
        <w:t>para</w:t>
      </w:r>
      <w:r w:rsidR="00644B0D">
        <w:rPr>
          <w:rFonts w:eastAsia="Times New Roman"/>
          <w:sz w:val="24"/>
          <w:szCs w:val="24"/>
        </w:rPr>
        <w:t> </w:t>
      </w:r>
      <w:r w:rsidR="2B8955E1" w:rsidRPr="00F52076">
        <w:rPr>
          <w:rFonts w:eastAsia="Times New Roman"/>
          <w:sz w:val="24"/>
          <w:szCs w:val="24"/>
        </w:rPr>
        <w:t>66-67</w:t>
      </w:r>
      <w:r w:rsidR="2B8955E1">
        <w:rPr>
          <w:rFonts w:eastAsia="Times New Roman"/>
          <w:sz w:val="24"/>
          <w:szCs w:val="24"/>
        </w:rPr>
        <w:t>.</w:t>
      </w:r>
      <w:r w:rsidR="2B8955E1" w:rsidRPr="00F52076">
        <w:rPr>
          <w:rFonts w:eastAsia="Times New Roman"/>
          <w:sz w:val="24"/>
          <w:szCs w:val="24"/>
        </w:rPr>
        <w:t xml:space="preserve"> </w:t>
      </w:r>
    </w:p>
  </w:footnote>
  <w:footnote w:id="24">
    <w:p w14:paraId="5BF3DAD2" w14:textId="176F6C80" w:rsidR="1A2BEA16" w:rsidRPr="00F52076" w:rsidRDefault="1A2BEA16" w:rsidP="1A2BEA16">
      <w:pPr>
        <w:pStyle w:val="FootnoteText"/>
        <w:rPr>
          <w:sz w:val="24"/>
          <w:szCs w:val="24"/>
        </w:rPr>
      </w:pPr>
      <w:r w:rsidRPr="00F52076">
        <w:rPr>
          <w:rStyle w:val="FootnoteReference"/>
          <w:sz w:val="24"/>
          <w:szCs w:val="24"/>
        </w:rPr>
        <w:footnoteRef/>
      </w:r>
      <w:r w:rsidRPr="00F52076">
        <w:rPr>
          <w:sz w:val="24"/>
          <w:szCs w:val="24"/>
        </w:rPr>
        <w:t xml:space="preserve"> </w:t>
      </w:r>
      <w:r w:rsidRPr="00F52076">
        <w:rPr>
          <w:rFonts w:eastAsia="Times New Roman"/>
          <w:sz w:val="24"/>
          <w:szCs w:val="24"/>
        </w:rPr>
        <w:t xml:space="preserve">Voir </w:t>
      </w:r>
      <w:r>
        <w:rPr>
          <w:rFonts w:eastAsia="Times New Roman"/>
          <w:i/>
          <w:sz w:val="24"/>
          <w:szCs w:val="24"/>
        </w:rPr>
        <w:t>Najafi</w:t>
      </w:r>
      <w:r w:rsidR="0096343B">
        <w:rPr>
          <w:rFonts w:eastAsia="Times New Roman"/>
          <w:i/>
          <w:iCs/>
          <w:sz w:val="24"/>
          <w:szCs w:val="24"/>
        </w:rPr>
        <w:t xml:space="preserve">, supra </w:t>
      </w:r>
      <w:r w:rsidR="0096343B">
        <w:rPr>
          <w:rFonts w:eastAsia="Times New Roman"/>
          <w:sz w:val="24"/>
          <w:szCs w:val="24"/>
        </w:rPr>
        <w:t>note</w:t>
      </w:r>
      <w:r w:rsidR="00644B0D">
        <w:rPr>
          <w:rFonts w:eastAsia="Times New Roman"/>
          <w:sz w:val="24"/>
          <w:szCs w:val="24"/>
        </w:rPr>
        <w:t> </w:t>
      </w:r>
      <w:r w:rsidR="7D04A4AC">
        <w:rPr>
          <w:rFonts w:eastAsia="Times New Roman"/>
          <w:sz w:val="24"/>
          <w:szCs w:val="24"/>
        </w:rPr>
        <w:t>21</w:t>
      </w:r>
      <w:r w:rsidRPr="00F52076">
        <w:rPr>
          <w:rFonts w:eastAsia="Times New Roman"/>
          <w:sz w:val="24"/>
          <w:szCs w:val="24"/>
        </w:rPr>
        <w:t xml:space="preserve"> </w:t>
      </w:r>
      <w:r w:rsidRPr="0096343B">
        <w:rPr>
          <w:rFonts w:eastAsia="Times New Roman"/>
          <w:i/>
          <w:sz w:val="24"/>
          <w:szCs w:val="24"/>
        </w:rPr>
        <w:t>a contrario</w:t>
      </w:r>
      <w:r w:rsidR="00DF5BE7">
        <w:rPr>
          <w:rFonts w:eastAsia="Times New Roman"/>
          <w:i/>
          <w:iCs/>
          <w:sz w:val="24"/>
          <w:szCs w:val="24"/>
        </w:rPr>
        <w:t>.</w:t>
      </w:r>
    </w:p>
  </w:footnote>
  <w:footnote w:id="25">
    <w:p w14:paraId="71C4F462" w14:textId="24EF011A" w:rsidR="1A2BEA16" w:rsidRDefault="1A2BEA16" w:rsidP="1A2BEA16">
      <w:pPr>
        <w:pStyle w:val="FootnoteText"/>
      </w:pPr>
      <w:r w:rsidRPr="00F52076">
        <w:rPr>
          <w:rStyle w:val="FootnoteReference"/>
          <w:sz w:val="24"/>
          <w:szCs w:val="24"/>
        </w:rPr>
        <w:footnoteRef/>
      </w:r>
      <w:r w:rsidRPr="00F52076">
        <w:rPr>
          <w:sz w:val="24"/>
          <w:szCs w:val="24"/>
        </w:rPr>
        <w:t xml:space="preserve"> </w:t>
      </w:r>
      <w:r w:rsidRPr="00B56B4C">
        <w:rPr>
          <w:rFonts w:eastAsia="Times New Roman"/>
          <w:i/>
          <w:sz w:val="24"/>
          <w:szCs w:val="24"/>
        </w:rPr>
        <w:t xml:space="preserve">Chowdhury </w:t>
      </w:r>
      <w:r w:rsidRPr="00F52076">
        <w:rPr>
          <w:rFonts w:eastAsia="Times New Roman"/>
          <w:sz w:val="24"/>
          <w:szCs w:val="24"/>
        </w:rPr>
        <w:t>CF</w:t>
      </w:r>
      <w:r w:rsidR="00B56B4C" w:rsidRPr="00B56B4C">
        <w:rPr>
          <w:rFonts w:eastAsia="Times New Roman"/>
          <w:sz w:val="24"/>
          <w:szCs w:val="24"/>
        </w:rPr>
        <w:t xml:space="preserve">, </w:t>
      </w:r>
      <w:r w:rsidR="00B56B4C" w:rsidRPr="00B56B4C">
        <w:rPr>
          <w:rFonts w:eastAsia="Times New Roman"/>
          <w:i/>
          <w:iCs/>
          <w:sz w:val="24"/>
          <w:szCs w:val="24"/>
        </w:rPr>
        <w:t>supra</w:t>
      </w:r>
      <w:r w:rsidR="00B56B4C" w:rsidRPr="00B56B4C">
        <w:rPr>
          <w:rFonts w:eastAsia="Times New Roman"/>
          <w:sz w:val="24"/>
          <w:szCs w:val="24"/>
        </w:rPr>
        <w:t xml:space="preserve"> note</w:t>
      </w:r>
      <w:r w:rsidR="00644B0D">
        <w:rPr>
          <w:rFonts w:eastAsia="Times New Roman"/>
          <w:sz w:val="24"/>
          <w:szCs w:val="24"/>
        </w:rPr>
        <w:t> </w:t>
      </w:r>
      <w:r w:rsidR="7D04A4AC" w:rsidRPr="00B56B4C">
        <w:rPr>
          <w:rFonts w:eastAsia="Times New Roman"/>
          <w:sz w:val="24"/>
          <w:szCs w:val="24"/>
        </w:rPr>
        <w:t>13</w:t>
      </w:r>
      <w:r w:rsidR="00B56B4C" w:rsidRPr="00B56B4C">
        <w:rPr>
          <w:rFonts w:eastAsia="Times New Roman"/>
          <w:sz w:val="24"/>
          <w:szCs w:val="24"/>
        </w:rPr>
        <w:t xml:space="preserve"> au para</w:t>
      </w:r>
      <w:r w:rsidR="00644B0D">
        <w:rPr>
          <w:rFonts w:eastAsia="Times New Roman"/>
          <w:sz w:val="24"/>
          <w:szCs w:val="24"/>
        </w:rPr>
        <w:t> </w:t>
      </w:r>
      <w:r w:rsidRPr="00F52076">
        <w:rPr>
          <w:rFonts w:eastAsia="Times New Roman"/>
          <w:sz w:val="24"/>
          <w:szCs w:val="24"/>
        </w:rPr>
        <w:t>30</w:t>
      </w:r>
      <w:r w:rsidR="00B56B4C">
        <w:rPr>
          <w:rFonts w:eastAsia="Times New Roman"/>
          <w:sz w:val="24"/>
          <w:szCs w:val="24"/>
        </w:rPr>
        <w:t>.</w:t>
      </w:r>
    </w:p>
  </w:footnote>
  <w:footnote w:id="26">
    <w:p w14:paraId="50BC2DFD" w14:textId="28A21CC7" w:rsidR="1A2BEA16" w:rsidRPr="00F52076" w:rsidRDefault="1A2BEA16" w:rsidP="1A2BEA16">
      <w:pPr>
        <w:pStyle w:val="FootnoteText"/>
        <w:rPr>
          <w:sz w:val="24"/>
          <w:szCs w:val="24"/>
        </w:rPr>
      </w:pPr>
      <w:r w:rsidRPr="00F52076">
        <w:rPr>
          <w:rStyle w:val="FootnoteReference"/>
          <w:sz w:val="24"/>
          <w:szCs w:val="24"/>
        </w:rPr>
        <w:footnoteRef/>
      </w:r>
      <w:r w:rsidRPr="00F52076">
        <w:rPr>
          <w:sz w:val="24"/>
          <w:szCs w:val="24"/>
        </w:rPr>
        <w:t xml:space="preserve"> </w:t>
      </w:r>
      <w:r w:rsidR="00DF5BE7">
        <w:rPr>
          <w:rFonts w:eastAsia="Times New Roman"/>
          <w:i/>
          <w:iCs/>
          <w:sz w:val="24"/>
          <w:szCs w:val="24"/>
        </w:rPr>
        <w:t xml:space="preserve">Ibid </w:t>
      </w:r>
      <w:r w:rsidR="00DF5BE7">
        <w:rPr>
          <w:rFonts w:eastAsia="Times New Roman"/>
          <w:sz w:val="24"/>
          <w:szCs w:val="24"/>
        </w:rPr>
        <w:t>au para</w:t>
      </w:r>
      <w:r w:rsidR="00644B0D">
        <w:rPr>
          <w:rFonts w:eastAsia="Times New Roman"/>
          <w:sz w:val="24"/>
          <w:szCs w:val="24"/>
        </w:rPr>
        <w:t> </w:t>
      </w:r>
      <w:r w:rsidRPr="00F52076">
        <w:rPr>
          <w:rFonts w:eastAsia="Times New Roman"/>
          <w:sz w:val="24"/>
          <w:szCs w:val="24"/>
        </w:rPr>
        <w:t>39</w:t>
      </w:r>
      <w:r w:rsidR="00DF5BE7">
        <w:rPr>
          <w:rFonts w:eastAsia="Times New Roman"/>
          <w:sz w:val="24"/>
          <w:szCs w:val="24"/>
        </w:rPr>
        <w:t>.</w:t>
      </w:r>
    </w:p>
  </w:footnote>
  <w:footnote w:id="27">
    <w:p w14:paraId="4639DF9B" w14:textId="6E36D38F" w:rsidR="1A2BEA16" w:rsidRDefault="1A2BEA16" w:rsidP="1A2BEA16">
      <w:pPr>
        <w:pStyle w:val="FootnoteText"/>
      </w:pPr>
      <w:r w:rsidRPr="00F52076">
        <w:rPr>
          <w:rStyle w:val="FootnoteReference"/>
          <w:sz w:val="24"/>
          <w:szCs w:val="24"/>
        </w:rPr>
        <w:footnoteRef/>
      </w:r>
      <w:r w:rsidRPr="00F52076">
        <w:rPr>
          <w:sz w:val="24"/>
          <w:szCs w:val="24"/>
        </w:rPr>
        <w:t xml:space="preserve"> </w:t>
      </w:r>
      <w:r w:rsidR="00134A46">
        <w:rPr>
          <w:rFonts w:eastAsia="Times New Roman"/>
          <w:i/>
          <w:iCs/>
          <w:sz w:val="24"/>
          <w:szCs w:val="24"/>
        </w:rPr>
        <w:t>Ibid</w:t>
      </w:r>
      <w:r w:rsidR="00A87762" w:rsidRPr="00A87762">
        <w:rPr>
          <w:rFonts w:eastAsia="Times New Roman"/>
          <w:sz w:val="24"/>
          <w:szCs w:val="24"/>
        </w:rPr>
        <w:t xml:space="preserve"> au para</w:t>
      </w:r>
      <w:r w:rsidR="00644B0D">
        <w:rPr>
          <w:rFonts w:eastAsia="Times New Roman"/>
          <w:sz w:val="24"/>
          <w:szCs w:val="24"/>
        </w:rPr>
        <w:t> </w:t>
      </w:r>
      <w:r w:rsidRPr="00F52076">
        <w:rPr>
          <w:rFonts w:eastAsia="Times New Roman"/>
          <w:sz w:val="24"/>
          <w:szCs w:val="24"/>
        </w:rPr>
        <w:t>41</w:t>
      </w:r>
      <w:r w:rsidR="7D04A4AC" w:rsidRPr="00F52076">
        <w:rPr>
          <w:rFonts w:eastAsia="Times New Roman"/>
          <w:sz w:val="24"/>
          <w:szCs w:val="24"/>
        </w:rPr>
        <w:t>.</w:t>
      </w:r>
    </w:p>
  </w:footnote>
  <w:footnote w:id="28">
    <w:p w14:paraId="107CB43D" w14:textId="1D3750FC" w:rsidR="00226D3A" w:rsidRPr="00F52076" w:rsidRDefault="00226D3A" w:rsidP="00226D3A">
      <w:pPr>
        <w:pStyle w:val="FootnoteText"/>
        <w:rPr>
          <w:sz w:val="24"/>
          <w:szCs w:val="24"/>
          <w:lang w:val="en-CA"/>
        </w:rPr>
      </w:pPr>
      <w:r w:rsidRPr="00F52076">
        <w:rPr>
          <w:rStyle w:val="FootnoteReference"/>
          <w:sz w:val="24"/>
          <w:szCs w:val="24"/>
        </w:rPr>
        <w:footnoteRef/>
      </w:r>
      <w:r w:rsidR="2B8955E1" w:rsidRPr="00F52076">
        <w:rPr>
          <w:sz w:val="24"/>
          <w:szCs w:val="24"/>
          <w:lang w:val="en-CA"/>
        </w:rPr>
        <w:t xml:space="preserve"> </w:t>
      </w:r>
      <w:r w:rsidR="2B8955E1" w:rsidRPr="2B8955E1">
        <w:rPr>
          <w:i/>
          <w:iCs/>
          <w:sz w:val="24"/>
          <w:szCs w:val="24"/>
          <w:lang w:val="en-CA"/>
        </w:rPr>
        <w:t>Rizzo &amp; Rizzo Shoes Ltd. (Re)</w:t>
      </w:r>
      <w:r w:rsidR="2B8955E1" w:rsidRPr="00F52076">
        <w:rPr>
          <w:sz w:val="24"/>
          <w:szCs w:val="24"/>
          <w:lang w:val="en-CA"/>
        </w:rPr>
        <w:t>, 1998 1 RCS</w:t>
      </w:r>
      <w:r w:rsidR="00D14AC9">
        <w:rPr>
          <w:sz w:val="24"/>
          <w:szCs w:val="24"/>
          <w:lang w:val="en-CA"/>
        </w:rPr>
        <w:t> </w:t>
      </w:r>
      <w:r w:rsidR="2B8955E1" w:rsidRPr="00F52076">
        <w:rPr>
          <w:sz w:val="24"/>
          <w:szCs w:val="24"/>
          <w:lang w:val="en-CA"/>
        </w:rPr>
        <w:t>27</w:t>
      </w:r>
      <w:r w:rsidR="00D14AC9">
        <w:rPr>
          <w:sz w:val="24"/>
          <w:szCs w:val="24"/>
          <w:lang w:val="en-CA"/>
        </w:rPr>
        <w:t> </w:t>
      </w:r>
      <w:r w:rsidR="2B8955E1" w:rsidRPr="00F52076">
        <w:rPr>
          <w:sz w:val="24"/>
          <w:szCs w:val="24"/>
          <w:lang w:val="en-CA"/>
        </w:rPr>
        <w:t xml:space="preserve">; </w:t>
      </w:r>
      <w:r w:rsidR="2B8955E1" w:rsidRPr="2B8955E1">
        <w:rPr>
          <w:i/>
          <w:iCs/>
          <w:sz w:val="24"/>
          <w:szCs w:val="24"/>
          <w:lang w:val="en-CA"/>
        </w:rPr>
        <w:t>Bell Express Vu Limited Partnership c</w:t>
      </w:r>
      <w:r w:rsidR="2B8955E1" w:rsidRPr="2F7A6CFE">
        <w:rPr>
          <w:sz w:val="24"/>
          <w:szCs w:val="24"/>
          <w:lang w:val="en-CA"/>
        </w:rPr>
        <w:t xml:space="preserve"> </w:t>
      </w:r>
      <w:r w:rsidR="2B8955E1" w:rsidRPr="2B8955E1">
        <w:rPr>
          <w:i/>
          <w:iCs/>
          <w:sz w:val="24"/>
          <w:szCs w:val="24"/>
          <w:lang w:val="en-CA"/>
        </w:rPr>
        <w:t>Rex</w:t>
      </w:r>
      <w:r w:rsidR="2B8955E1" w:rsidRPr="00F52076">
        <w:rPr>
          <w:sz w:val="24"/>
          <w:szCs w:val="24"/>
          <w:lang w:val="en-CA"/>
        </w:rPr>
        <w:t>, 2002 CSC</w:t>
      </w:r>
      <w:r w:rsidR="00D14AC9">
        <w:rPr>
          <w:sz w:val="24"/>
          <w:szCs w:val="24"/>
          <w:lang w:val="en-CA"/>
        </w:rPr>
        <w:t> </w:t>
      </w:r>
      <w:r w:rsidR="2B8955E1" w:rsidRPr="00F52076">
        <w:rPr>
          <w:sz w:val="24"/>
          <w:szCs w:val="24"/>
          <w:lang w:val="en-CA"/>
        </w:rPr>
        <w:t>42 [</w:t>
      </w:r>
      <w:r w:rsidR="2B8955E1" w:rsidRPr="2B8955E1">
        <w:rPr>
          <w:i/>
          <w:iCs/>
          <w:sz w:val="24"/>
          <w:szCs w:val="24"/>
          <w:lang w:val="en-CA"/>
        </w:rPr>
        <w:t>Bell ExpressVu</w:t>
      </w:r>
      <w:r w:rsidR="2B8955E1" w:rsidRPr="00F52076">
        <w:rPr>
          <w:sz w:val="24"/>
          <w:szCs w:val="24"/>
          <w:lang w:val="en-CA"/>
        </w:rPr>
        <w:t xml:space="preserve">].  </w:t>
      </w:r>
    </w:p>
  </w:footnote>
  <w:footnote w:id="29">
    <w:p w14:paraId="1B1B4E98" w14:textId="06322BB7" w:rsidR="00226D3A" w:rsidRPr="00F52076" w:rsidRDefault="00226D3A" w:rsidP="00226D3A">
      <w:pPr>
        <w:pStyle w:val="FootnoteText"/>
        <w:rPr>
          <w:sz w:val="24"/>
          <w:szCs w:val="24"/>
        </w:rPr>
      </w:pPr>
      <w:r w:rsidRPr="00F52076">
        <w:rPr>
          <w:rStyle w:val="FootnoteReference"/>
          <w:sz w:val="24"/>
          <w:szCs w:val="24"/>
        </w:rPr>
        <w:footnoteRef/>
      </w:r>
      <w:r w:rsidR="2F4F01E5" w:rsidRPr="00F52076">
        <w:rPr>
          <w:sz w:val="24"/>
          <w:szCs w:val="24"/>
        </w:rPr>
        <w:t xml:space="preserve"> </w:t>
      </w:r>
      <w:r w:rsidR="2F4F01E5" w:rsidRPr="2F4F01E5">
        <w:rPr>
          <w:i/>
          <w:iCs/>
          <w:sz w:val="24"/>
          <w:szCs w:val="24"/>
        </w:rPr>
        <w:t>Baker c</w:t>
      </w:r>
      <w:r w:rsidR="2F4F01E5" w:rsidRPr="00F52076">
        <w:rPr>
          <w:sz w:val="24"/>
          <w:szCs w:val="24"/>
        </w:rPr>
        <w:t xml:space="preserve"> </w:t>
      </w:r>
      <w:r w:rsidR="2F4F01E5" w:rsidRPr="2F4F01E5">
        <w:rPr>
          <w:i/>
          <w:iCs/>
          <w:sz w:val="24"/>
          <w:szCs w:val="24"/>
        </w:rPr>
        <w:t>Canada (Ministre de la Citoyenneté et de l’immigration)</w:t>
      </w:r>
      <w:r w:rsidR="2F4F01E5" w:rsidRPr="00F52076">
        <w:rPr>
          <w:sz w:val="24"/>
          <w:szCs w:val="24"/>
        </w:rPr>
        <w:t>, 1999 2 RCS</w:t>
      </w:r>
      <w:r w:rsidR="00D14AC9">
        <w:rPr>
          <w:sz w:val="24"/>
          <w:szCs w:val="24"/>
        </w:rPr>
        <w:t> </w:t>
      </w:r>
      <w:r w:rsidR="2F4F01E5" w:rsidRPr="00F52076">
        <w:rPr>
          <w:sz w:val="24"/>
          <w:szCs w:val="24"/>
        </w:rPr>
        <w:t>817 au para</w:t>
      </w:r>
      <w:r w:rsidR="00D14AC9">
        <w:rPr>
          <w:sz w:val="24"/>
          <w:szCs w:val="24"/>
        </w:rPr>
        <w:t> </w:t>
      </w:r>
      <w:r w:rsidR="2F4F01E5" w:rsidRPr="00F52076">
        <w:rPr>
          <w:sz w:val="24"/>
          <w:szCs w:val="24"/>
        </w:rPr>
        <w:t>70 [</w:t>
      </w:r>
      <w:r w:rsidR="2F4F01E5" w:rsidRPr="2F4F01E5">
        <w:rPr>
          <w:i/>
          <w:iCs/>
          <w:sz w:val="24"/>
          <w:szCs w:val="24"/>
        </w:rPr>
        <w:t>Baker</w:t>
      </w:r>
      <w:r w:rsidR="2F4F01E5" w:rsidRPr="2F4F01E5">
        <w:rPr>
          <w:sz w:val="24"/>
          <w:szCs w:val="24"/>
        </w:rPr>
        <w:t>]</w:t>
      </w:r>
      <w:r w:rsidR="2F4F01E5" w:rsidRPr="2F4F01E5">
        <w:rPr>
          <w:i/>
          <w:iCs/>
          <w:sz w:val="24"/>
          <w:szCs w:val="24"/>
        </w:rPr>
        <w:t>.</w:t>
      </w:r>
    </w:p>
  </w:footnote>
  <w:footnote w:id="30">
    <w:p w14:paraId="01A2ED2C" w14:textId="455830F7" w:rsidR="00226D3A" w:rsidRPr="00F52076" w:rsidRDefault="00226D3A" w:rsidP="00226D3A">
      <w:pPr>
        <w:pStyle w:val="FootnoteText"/>
        <w:rPr>
          <w:sz w:val="24"/>
          <w:szCs w:val="24"/>
        </w:rPr>
      </w:pPr>
      <w:r w:rsidRPr="00F52076">
        <w:rPr>
          <w:rStyle w:val="FootnoteReference"/>
          <w:sz w:val="24"/>
          <w:szCs w:val="24"/>
        </w:rPr>
        <w:footnoteRef/>
      </w:r>
      <w:r w:rsidR="1D828A80" w:rsidRPr="00F52076">
        <w:rPr>
          <w:sz w:val="24"/>
          <w:szCs w:val="24"/>
        </w:rPr>
        <w:t xml:space="preserve"> </w:t>
      </w:r>
      <w:r w:rsidR="1D828A80" w:rsidRPr="1D828A80">
        <w:rPr>
          <w:i/>
          <w:iCs/>
          <w:sz w:val="24"/>
          <w:szCs w:val="24"/>
        </w:rPr>
        <w:t>B010 c</w:t>
      </w:r>
      <w:r w:rsidR="1D828A80" w:rsidRPr="00F52076">
        <w:rPr>
          <w:sz w:val="24"/>
          <w:szCs w:val="24"/>
        </w:rPr>
        <w:t xml:space="preserve"> </w:t>
      </w:r>
      <w:r w:rsidR="1D828A80" w:rsidRPr="1D828A80">
        <w:rPr>
          <w:i/>
          <w:iCs/>
          <w:sz w:val="24"/>
          <w:szCs w:val="24"/>
        </w:rPr>
        <w:t>Canada (Citoyenneté et Immigration</w:t>
      </w:r>
      <w:r w:rsidR="1D828A80" w:rsidRPr="00F52076">
        <w:rPr>
          <w:sz w:val="24"/>
          <w:szCs w:val="24"/>
        </w:rPr>
        <w:t>), 2015 CSC</w:t>
      </w:r>
      <w:r w:rsidR="00D14AC9">
        <w:rPr>
          <w:sz w:val="24"/>
          <w:szCs w:val="24"/>
        </w:rPr>
        <w:t> </w:t>
      </w:r>
      <w:r w:rsidR="1D828A80" w:rsidRPr="00F52076">
        <w:rPr>
          <w:sz w:val="24"/>
          <w:szCs w:val="24"/>
        </w:rPr>
        <w:t>58, au para</w:t>
      </w:r>
      <w:r w:rsidR="00D14AC9">
        <w:rPr>
          <w:sz w:val="24"/>
          <w:szCs w:val="24"/>
        </w:rPr>
        <w:t> </w:t>
      </w:r>
      <w:r w:rsidR="1D828A80" w:rsidRPr="00F52076">
        <w:rPr>
          <w:sz w:val="24"/>
          <w:szCs w:val="24"/>
        </w:rPr>
        <w:t>49.</w:t>
      </w:r>
    </w:p>
  </w:footnote>
  <w:footnote w:id="31">
    <w:p w14:paraId="252F3E2F" w14:textId="5B2104E3" w:rsidR="00720457" w:rsidRDefault="00720457">
      <w:pPr>
        <w:pStyle w:val="FootnoteText"/>
        <w:rPr>
          <w:rFonts w:eastAsia="Times New Roman"/>
          <w:sz w:val="24"/>
          <w:szCs w:val="24"/>
        </w:rPr>
      </w:pPr>
      <w:r w:rsidRPr="7403D796">
        <w:rPr>
          <w:rStyle w:val="FootnoteReference"/>
          <w:rFonts w:eastAsia="Times New Roman"/>
          <w:sz w:val="24"/>
          <w:szCs w:val="24"/>
        </w:rPr>
        <w:footnoteRef/>
      </w:r>
      <w:r w:rsidRPr="7403D796">
        <w:rPr>
          <w:rFonts w:eastAsia="Times New Roman"/>
          <w:sz w:val="24"/>
          <w:szCs w:val="24"/>
        </w:rPr>
        <w:t xml:space="preserve"> </w:t>
      </w:r>
      <w:r w:rsidR="22C8604E" w:rsidRPr="22C8604E">
        <w:rPr>
          <w:rFonts w:eastAsia="Times New Roman"/>
          <w:i/>
          <w:iCs/>
          <w:sz w:val="24"/>
          <w:szCs w:val="24"/>
        </w:rPr>
        <w:t>Convention relative aux</w:t>
      </w:r>
      <w:r w:rsidR="00782F50" w:rsidRPr="22C8604E">
        <w:rPr>
          <w:rFonts w:eastAsia="Times New Roman"/>
          <w:i/>
          <w:sz w:val="24"/>
          <w:szCs w:val="24"/>
        </w:rPr>
        <w:t xml:space="preserve"> </w:t>
      </w:r>
      <w:r w:rsidR="008D7812" w:rsidRPr="22C8604E">
        <w:rPr>
          <w:rFonts w:eastAsia="Times New Roman"/>
          <w:i/>
          <w:sz w:val="24"/>
          <w:szCs w:val="24"/>
        </w:rPr>
        <w:t>droits de l’enfant</w:t>
      </w:r>
      <w:r w:rsidR="22C8604E" w:rsidRPr="22C8604E">
        <w:rPr>
          <w:rFonts w:eastAsia="Times New Roman"/>
          <w:sz w:val="24"/>
          <w:szCs w:val="24"/>
        </w:rPr>
        <w:t>,</w:t>
      </w:r>
      <w:r w:rsidR="008D7812" w:rsidRPr="7403D796">
        <w:rPr>
          <w:rFonts w:eastAsia="Times New Roman"/>
          <w:sz w:val="24"/>
          <w:szCs w:val="24"/>
        </w:rPr>
        <w:t xml:space="preserve"> </w:t>
      </w:r>
      <w:r w:rsidR="323DCBBD" w:rsidRPr="323DCBBD">
        <w:rPr>
          <w:rFonts w:eastAsia="Times New Roman"/>
          <w:sz w:val="24"/>
          <w:szCs w:val="24"/>
        </w:rPr>
        <w:t xml:space="preserve">20 novembre 1989, </w:t>
      </w:r>
      <w:r w:rsidR="45CF5848" w:rsidRPr="323DCBBD">
        <w:rPr>
          <w:rFonts w:eastAsia="Times New Roman"/>
          <w:sz w:val="24"/>
          <w:szCs w:val="24"/>
        </w:rPr>
        <w:t xml:space="preserve">RTNU </w:t>
      </w:r>
      <w:r w:rsidR="74AF299D" w:rsidRPr="74AF299D">
        <w:rPr>
          <w:rFonts w:eastAsia="Times New Roman"/>
          <w:sz w:val="24"/>
          <w:szCs w:val="24"/>
        </w:rPr>
        <w:t>vol.</w:t>
      </w:r>
      <w:r w:rsidR="00D14AC9">
        <w:rPr>
          <w:rFonts w:eastAsia="Times New Roman"/>
          <w:sz w:val="24"/>
          <w:szCs w:val="24"/>
        </w:rPr>
        <w:t> </w:t>
      </w:r>
      <w:r w:rsidR="74AF299D" w:rsidRPr="74AF299D">
        <w:rPr>
          <w:rFonts w:eastAsia="Times New Roman"/>
          <w:sz w:val="24"/>
          <w:szCs w:val="24"/>
        </w:rPr>
        <w:t>999, p.</w:t>
      </w:r>
      <w:r w:rsidR="00D14AC9">
        <w:rPr>
          <w:rFonts w:eastAsia="Times New Roman"/>
          <w:sz w:val="24"/>
          <w:szCs w:val="24"/>
        </w:rPr>
        <w:t> </w:t>
      </w:r>
      <w:r w:rsidR="74AF299D" w:rsidRPr="74AF299D">
        <w:rPr>
          <w:rFonts w:eastAsia="Times New Roman"/>
          <w:sz w:val="24"/>
          <w:szCs w:val="24"/>
        </w:rPr>
        <w:t>171</w:t>
      </w:r>
      <w:r w:rsidR="74AF299D" w:rsidRPr="323DCBBD">
        <w:rPr>
          <w:rFonts w:eastAsia="Times New Roman"/>
          <w:sz w:val="24"/>
          <w:szCs w:val="24"/>
        </w:rPr>
        <w:t xml:space="preserve"> </w:t>
      </w:r>
      <w:r w:rsidR="27B4F9CE" w:rsidRPr="7403D796">
        <w:rPr>
          <w:rFonts w:eastAsia="Times New Roman"/>
          <w:sz w:val="24"/>
          <w:szCs w:val="24"/>
        </w:rPr>
        <w:t>(entrée en vigueur</w:t>
      </w:r>
      <w:r w:rsidR="00D14AC9">
        <w:rPr>
          <w:rFonts w:eastAsia="Times New Roman"/>
          <w:sz w:val="24"/>
          <w:szCs w:val="24"/>
        </w:rPr>
        <w:t> </w:t>
      </w:r>
      <w:r w:rsidR="27B4F9CE" w:rsidRPr="7403D796">
        <w:rPr>
          <w:rFonts w:eastAsia="Times New Roman"/>
          <w:sz w:val="24"/>
          <w:szCs w:val="24"/>
        </w:rPr>
        <w:t>: 2 septembre 1990)</w:t>
      </w:r>
    </w:p>
  </w:footnote>
  <w:footnote w:id="32">
    <w:p w14:paraId="01E0EA2D" w14:textId="2A7D24C5" w:rsidR="00DA7F6E" w:rsidRDefault="00DA7F6E" w:rsidP="00DA7F6E">
      <w:pPr>
        <w:pStyle w:val="FootnoteText"/>
      </w:pPr>
      <w:r w:rsidRPr="7403D796">
        <w:rPr>
          <w:rStyle w:val="FootnoteReference"/>
          <w:rFonts w:eastAsia="Times New Roman"/>
          <w:sz w:val="24"/>
          <w:szCs w:val="24"/>
        </w:rPr>
        <w:footnoteRef/>
      </w:r>
      <w:r w:rsidRPr="7403D796">
        <w:rPr>
          <w:rFonts w:eastAsia="Times New Roman"/>
          <w:sz w:val="24"/>
          <w:szCs w:val="24"/>
        </w:rPr>
        <w:t xml:space="preserve"> </w:t>
      </w:r>
      <w:r w:rsidR="005B32E2" w:rsidRPr="005B32E2">
        <w:rPr>
          <w:rFonts w:eastAsia="Times New Roman"/>
          <w:i/>
          <w:iCs/>
          <w:sz w:val="24"/>
          <w:szCs w:val="24"/>
        </w:rPr>
        <w:t xml:space="preserve">Chowdhury </w:t>
      </w:r>
      <w:r w:rsidR="005B32E2" w:rsidRPr="005B32E2">
        <w:rPr>
          <w:rFonts w:eastAsia="Times New Roman"/>
          <w:sz w:val="24"/>
          <w:szCs w:val="24"/>
        </w:rPr>
        <w:t xml:space="preserve">CF, </w:t>
      </w:r>
      <w:r w:rsidR="005B32E2" w:rsidRPr="005B32E2">
        <w:rPr>
          <w:rFonts w:eastAsia="Times New Roman"/>
          <w:i/>
          <w:iCs/>
          <w:sz w:val="24"/>
          <w:szCs w:val="24"/>
        </w:rPr>
        <w:t>supra</w:t>
      </w:r>
      <w:r w:rsidR="005B32E2" w:rsidRPr="005B32E2">
        <w:rPr>
          <w:rFonts w:eastAsia="Times New Roman"/>
          <w:sz w:val="24"/>
          <w:szCs w:val="24"/>
        </w:rPr>
        <w:t>, note</w:t>
      </w:r>
      <w:r w:rsidR="00D14AC9">
        <w:rPr>
          <w:rFonts w:eastAsia="Times New Roman"/>
          <w:sz w:val="24"/>
          <w:szCs w:val="24"/>
        </w:rPr>
        <w:t> </w:t>
      </w:r>
      <w:r w:rsidR="367D9473" w:rsidRPr="005B32E2">
        <w:rPr>
          <w:rFonts w:eastAsia="Times New Roman"/>
          <w:sz w:val="24"/>
          <w:szCs w:val="24"/>
        </w:rPr>
        <w:t>13</w:t>
      </w:r>
      <w:r w:rsidR="005B32E2" w:rsidRPr="005B32E2">
        <w:rPr>
          <w:rFonts w:eastAsia="Times New Roman"/>
          <w:sz w:val="24"/>
          <w:szCs w:val="24"/>
        </w:rPr>
        <w:t xml:space="preserve"> au para</w:t>
      </w:r>
      <w:r w:rsidR="00D14AC9">
        <w:rPr>
          <w:rFonts w:eastAsia="Times New Roman"/>
          <w:sz w:val="24"/>
          <w:szCs w:val="24"/>
        </w:rPr>
        <w:t> </w:t>
      </w:r>
      <w:r w:rsidR="005B32E2">
        <w:rPr>
          <w:rFonts w:eastAsia="Times New Roman"/>
          <w:sz w:val="24"/>
          <w:szCs w:val="24"/>
        </w:rPr>
        <w:t>20.</w:t>
      </w:r>
    </w:p>
  </w:footnote>
  <w:footnote w:id="33">
    <w:p w14:paraId="2ACEF0AA" w14:textId="0CCB5E31" w:rsidR="00263303" w:rsidRPr="009502B1" w:rsidRDefault="00263303" w:rsidP="3A2A1C02">
      <w:pPr>
        <w:pStyle w:val="FootnoteText"/>
        <w:rPr>
          <w:rFonts w:eastAsia="Times New Roman"/>
          <w:sz w:val="24"/>
          <w:szCs w:val="24"/>
          <w:highlight w:val="yellow"/>
          <w:lang w:val="en-CA"/>
        </w:rPr>
      </w:pPr>
      <w:r w:rsidRPr="7403D796">
        <w:rPr>
          <w:rStyle w:val="FootnoteReference"/>
          <w:rFonts w:eastAsia="Times New Roman"/>
          <w:sz w:val="24"/>
          <w:szCs w:val="24"/>
        </w:rPr>
        <w:footnoteRef/>
      </w:r>
      <w:r w:rsidR="34CBF2B8" w:rsidRPr="00570254">
        <w:rPr>
          <w:rFonts w:eastAsia="Times New Roman"/>
          <w:sz w:val="24"/>
          <w:szCs w:val="24"/>
          <w:lang w:val="en-CA"/>
        </w:rPr>
        <w:t xml:space="preserve"> «</w:t>
      </w:r>
      <w:r w:rsidR="00D14AC9">
        <w:rPr>
          <w:rFonts w:eastAsia="Times New Roman"/>
          <w:sz w:val="24"/>
          <w:szCs w:val="24"/>
          <w:lang w:val="en-CA"/>
        </w:rPr>
        <w:t> </w:t>
      </w:r>
      <w:r w:rsidR="34CBF2B8" w:rsidRPr="00570254">
        <w:rPr>
          <w:rFonts w:eastAsia="Times New Roman"/>
          <w:sz w:val="24"/>
          <w:szCs w:val="24"/>
          <w:lang w:val="en-CA"/>
        </w:rPr>
        <w:t>Bangladesh</w:t>
      </w:r>
      <w:r w:rsidR="00D14AC9">
        <w:rPr>
          <w:rFonts w:eastAsia="Times New Roman"/>
          <w:sz w:val="24"/>
          <w:szCs w:val="24"/>
          <w:lang w:val="en-CA"/>
        </w:rPr>
        <w:t> </w:t>
      </w:r>
      <w:r w:rsidR="34CBF2B8" w:rsidRPr="00570254">
        <w:rPr>
          <w:rFonts w:eastAsia="Times New Roman"/>
          <w:sz w:val="24"/>
          <w:szCs w:val="24"/>
          <w:lang w:val="en-CA"/>
        </w:rPr>
        <w:t>: Investigate LGBT murders. Protect Activists from Attack</w:t>
      </w:r>
      <w:r w:rsidR="00D14AC9">
        <w:rPr>
          <w:rFonts w:eastAsia="Times New Roman"/>
          <w:sz w:val="24"/>
          <w:szCs w:val="24"/>
          <w:lang w:val="en-CA"/>
        </w:rPr>
        <w:t> </w:t>
      </w:r>
      <w:r w:rsidR="34CBF2B8" w:rsidRPr="00570254">
        <w:rPr>
          <w:rFonts w:eastAsia="Times New Roman"/>
          <w:sz w:val="24"/>
          <w:szCs w:val="24"/>
          <w:lang w:val="en-CA"/>
        </w:rPr>
        <w:t xml:space="preserve">», </w:t>
      </w:r>
      <w:r w:rsidR="34CBF2B8" w:rsidRPr="00570254">
        <w:rPr>
          <w:rFonts w:eastAsia="Times New Roman"/>
          <w:i/>
          <w:iCs/>
          <w:sz w:val="24"/>
          <w:szCs w:val="24"/>
          <w:lang w:val="en-CA"/>
        </w:rPr>
        <w:t>Human Rights Watch</w:t>
      </w:r>
      <w:r w:rsidR="34CBF2B8" w:rsidRPr="00570254">
        <w:rPr>
          <w:rFonts w:eastAsia="Times New Roman"/>
          <w:sz w:val="24"/>
          <w:szCs w:val="24"/>
          <w:lang w:val="en-CA"/>
        </w:rPr>
        <w:t>, (26 avril 2016), en ligne</w:t>
      </w:r>
      <w:r w:rsidR="00D14AC9">
        <w:rPr>
          <w:rFonts w:eastAsia="Times New Roman"/>
          <w:sz w:val="24"/>
          <w:szCs w:val="24"/>
          <w:lang w:val="en-CA"/>
        </w:rPr>
        <w:t> </w:t>
      </w:r>
      <w:r w:rsidR="34CBF2B8" w:rsidRPr="00570254">
        <w:rPr>
          <w:rFonts w:eastAsia="Times New Roman"/>
          <w:sz w:val="24"/>
          <w:szCs w:val="24"/>
          <w:lang w:val="en-CA"/>
        </w:rPr>
        <w:t>: &lt;</w:t>
      </w:r>
      <w:r w:rsidR="009502B1">
        <w:rPr>
          <w:rStyle w:val="Hyperlink"/>
          <w:rFonts w:eastAsia="Times New Roman"/>
          <w:sz w:val="24"/>
          <w:szCs w:val="24"/>
          <w:lang w:val="en-CA"/>
        </w:rPr>
        <w:t xml:space="preserve"> </w:t>
      </w:r>
      <w:r w:rsidR="009502B1" w:rsidRPr="009502B1">
        <w:rPr>
          <w:rFonts w:eastAsia="Times New Roman"/>
          <w:sz w:val="24"/>
          <w:szCs w:val="24"/>
          <w:lang w:val="en-CA"/>
        </w:rPr>
        <w:t>https://www.hrw.org/news/2016/04/26/bangladesh-investigate-lgbt-murders &gt;</w:t>
      </w:r>
    </w:p>
  </w:footnote>
  <w:footnote w:id="34">
    <w:p w14:paraId="2314E1E5" w14:textId="2BAA62E8" w:rsidR="0C3E44B4" w:rsidRDefault="0C3E44B4" w:rsidP="0C3E44B4">
      <w:pPr>
        <w:pStyle w:val="FootnoteText"/>
      </w:pPr>
      <w:r w:rsidRPr="7403D796">
        <w:rPr>
          <w:rStyle w:val="FootnoteReference"/>
          <w:rFonts w:eastAsia="Times New Roman"/>
          <w:sz w:val="24"/>
          <w:szCs w:val="24"/>
        </w:rPr>
        <w:footnoteRef/>
      </w:r>
      <w:r w:rsidR="59F483E0" w:rsidRPr="7403D796">
        <w:rPr>
          <w:rFonts w:eastAsia="Times New Roman"/>
          <w:sz w:val="24"/>
          <w:szCs w:val="24"/>
        </w:rPr>
        <w:t xml:space="preserve"> </w:t>
      </w:r>
      <w:r w:rsidR="59F483E0" w:rsidRPr="7403D796">
        <w:rPr>
          <w:rFonts w:eastAsia="Times New Roman"/>
          <w:i/>
          <w:sz w:val="24"/>
          <w:szCs w:val="24"/>
        </w:rPr>
        <w:t>Déclaration universelle des droits de l’Homme</w:t>
      </w:r>
      <w:r w:rsidR="59F483E0" w:rsidRPr="7403D796">
        <w:rPr>
          <w:rFonts w:eastAsia="Times New Roman"/>
          <w:sz w:val="24"/>
          <w:szCs w:val="24"/>
        </w:rPr>
        <w:t>, Rés AG</w:t>
      </w:r>
      <w:r w:rsidR="00D14AC9">
        <w:rPr>
          <w:rFonts w:eastAsia="Times New Roman"/>
          <w:sz w:val="24"/>
          <w:szCs w:val="24"/>
        </w:rPr>
        <w:t> </w:t>
      </w:r>
      <w:r w:rsidR="59F483E0" w:rsidRPr="7403D796">
        <w:rPr>
          <w:rFonts w:eastAsia="Times New Roman"/>
          <w:sz w:val="24"/>
          <w:szCs w:val="24"/>
        </w:rPr>
        <w:t>217A (III), Doc off AG NU, 3e sess, supp no</w:t>
      </w:r>
      <w:r w:rsidR="00D14AC9">
        <w:rPr>
          <w:rFonts w:eastAsia="Times New Roman"/>
          <w:sz w:val="24"/>
          <w:szCs w:val="24"/>
        </w:rPr>
        <w:t> </w:t>
      </w:r>
      <w:r w:rsidR="59F483E0" w:rsidRPr="7403D796">
        <w:rPr>
          <w:rFonts w:eastAsia="Times New Roman"/>
          <w:sz w:val="24"/>
          <w:szCs w:val="24"/>
        </w:rPr>
        <w:t>13, Doc NU A/810 (1948) 71</w:t>
      </w:r>
    </w:p>
  </w:footnote>
  <w:footnote w:id="35">
    <w:p w14:paraId="443759CB" w14:textId="6E2AA2E5" w:rsidR="005A1055" w:rsidRPr="0090039C" w:rsidRDefault="005A1055">
      <w:pPr>
        <w:pStyle w:val="FootnoteText"/>
      </w:pPr>
      <w:r w:rsidRPr="00F52076">
        <w:rPr>
          <w:rStyle w:val="FootnoteReference"/>
          <w:sz w:val="24"/>
          <w:szCs w:val="24"/>
        </w:rPr>
        <w:footnoteRef/>
      </w:r>
      <w:r w:rsidR="59F483E0" w:rsidRPr="00F52076">
        <w:rPr>
          <w:sz w:val="24"/>
          <w:szCs w:val="24"/>
        </w:rPr>
        <w:t xml:space="preserve"> </w:t>
      </w:r>
      <w:r w:rsidR="59F483E0" w:rsidRPr="59F483E0">
        <w:rPr>
          <w:i/>
          <w:iCs/>
          <w:sz w:val="24"/>
          <w:szCs w:val="24"/>
        </w:rPr>
        <w:t>Al Yamani c Canada (Ministre de la Citoyenneté et de l’Immigration)</w:t>
      </w:r>
      <w:r w:rsidR="59F483E0" w:rsidRPr="00F52076">
        <w:rPr>
          <w:sz w:val="24"/>
          <w:szCs w:val="24"/>
        </w:rPr>
        <w:t>, 2006 CF 1457 au para</w:t>
      </w:r>
      <w:r w:rsidR="00D14AC9">
        <w:rPr>
          <w:sz w:val="24"/>
          <w:szCs w:val="24"/>
        </w:rPr>
        <w:t> </w:t>
      </w:r>
      <w:r w:rsidR="59F483E0" w:rsidRPr="00F52076">
        <w:rPr>
          <w:sz w:val="24"/>
          <w:szCs w:val="24"/>
        </w:rPr>
        <w:t>10 [</w:t>
      </w:r>
      <w:r w:rsidR="59F483E0" w:rsidRPr="59F483E0">
        <w:rPr>
          <w:i/>
          <w:iCs/>
          <w:sz w:val="24"/>
          <w:szCs w:val="24"/>
        </w:rPr>
        <w:t>Al Yamani</w:t>
      </w:r>
      <w:r w:rsidR="59F483E0" w:rsidRPr="00F52076">
        <w:rPr>
          <w:sz w:val="24"/>
          <w:szCs w:val="24"/>
        </w:rPr>
        <w:t>]</w:t>
      </w:r>
      <w:r w:rsidR="00D14AC9">
        <w:rPr>
          <w:sz w:val="24"/>
          <w:szCs w:val="24"/>
        </w:rPr>
        <w:t> </w:t>
      </w:r>
      <w:r w:rsidR="59F483E0" w:rsidRPr="00F52076">
        <w:rPr>
          <w:sz w:val="24"/>
          <w:szCs w:val="24"/>
        </w:rPr>
        <w:t xml:space="preserve">; </w:t>
      </w:r>
      <w:r w:rsidR="59F483E0" w:rsidRPr="59F483E0">
        <w:rPr>
          <w:i/>
          <w:iCs/>
          <w:sz w:val="24"/>
          <w:szCs w:val="24"/>
        </w:rPr>
        <w:t xml:space="preserve">Niyungeko c Canada (Citoyenneté et Immigration), </w:t>
      </w:r>
      <w:r w:rsidR="59F483E0" w:rsidRPr="00F52076">
        <w:rPr>
          <w:sz w:val="24"/>
          <w:szCs w:val="24"/>
        </w:rPr>
        <w:t>2019 CF 820, au para</w:t>
      </w:r>
      <w:r w:rsidR="00D14AC9">
        <w:rPr>
          <w:sz w:val="24"/>
          <w:szCs w:val="24"/>
        </w:rPr>
        <w:t> </w:t>
      </w:r>
      <w:r w:rsidR="59F483E0" w:rsidRPr="00F52076">
        <w:rPr>
          <w:sz w:val="24"/>
          <w:szCs w:val="24"/>
        </w:rPr>
        <w:t>13.</w:t>
      </w:r>
      <w:r w:rsidR="59F483E0" w:rsidRPr="7403D796">
        <w:rPr>
          <w:rFonts w:eastAsia="Times New Roman"/>
          <w:sz w:val="24"/>
          <w:szCs w:val="24"/>
        </w:rPr>
        <w:t xml:space="preserve">  </w:t>
      </w:r>
    </w:p>
  </w:footnote>
  <w:footnote w:id="36">
    <w:p w14:paraId="13719F79" w14:textId="6ACEE4EE" w:rsidR="00E908E5" w:rsidRPr="00F52076" w:rsidRDefault="00E908E5">
      <w:pPr>
        <w:pStyle w:val="FootnoteText"/>
        <w:rPr>
          <w:sz w:val="24"/>
          <w:szCs w:val="24"/>
        </w:rPr>
      </w:pPr>
      <w:r w:rsidRPr="00F52076">
        <w:rPr>
          <w:rStyle w:val="FootnoteReference"/>
          <w:sz w:val="24"/>
          <w:szCs w:val="24"/>
        </w:rPr>
        <w:footnoteRef/>
      </w:r>
      <w:r w:rsidRPr="00F52076">
        <w:rPr>
          <w:sz w:val="24"/>
          <w:szCs w:val="24"/>
        </w:rPr>
        <w:t xml:space="preserve"> </w:t>
      </w:r>
      <w:r w:rsidR="00647F4E" w:rsidRPr="00F52076">
        <w:rPr>
          <w:i/>
          <w:iCs/>
          <w:sz w:val="24"/>
          <w:szCs w:val="24"/>
        </w:rPr>
        <w:t>Mugesera c Canada (Ministre de la Citoyenneté et de l’Immigration)</w:t>
      </w:r>
      <w:r w:rsidR="00647F4E" w:rsidRPr="00F52076">
        <w:rPr>
          <w:sz w:val="24"/>
          <w:szCs w:val="24"/>
        </w:rPr>
        <w:t>, 2005 CSC 40 [</w:t>
      </w:r>
      <w:r w:rsidR="00647F4E" w:rsidRPr="00F52076">
        <w:rPr>
          <w:i/>
          <w:iCs/>
          <w:sz w:val="24"/>
          <w:szCs w:val="24"/>
        </w:rPr>
        <w:t>Mugesera</w:t>
      </w:r>
      <w:r w:rsidR="00647F4E" w:rsidRPr="00F52076">
        <w:rPr>
          <w:sz w:val="24"/>
          <w:szCs w:val="24"/>
        </w:rPr>
        <w:t>]</w:t>
      </w:r>
      <w:r w:rsidR="00647F4E">
        <w:rPr>
          <w:sz w:val="24"/>
          <w:szCs w:val="24"/>
        </w:rPr>
        <w:t xml:space="preserve"> au </w:t>
      </w:r>
      <w:r w:rsidRPr="00F52076">
        <w:rPr>
          <w:sz w:val="24"/>
          <w:szCs w:val="24"/>
        </w:rPr>
        <w:t>para</w:t>
      </w:r>
      <w:r w:rsidR="00D14AC9">
        <w:rPr>
          <w:sz w:val="24"/>
          <w:szCs w:val="24"/>
        </w:rPr>
        <w:t> </w:t>
      </w:r>
      <w:r w:rsidRPr="00F52076">
        <w:rPr>
          <w:sz w:val="24"/>
          <w:szCs w:val="24"/>
        </w:rPr>
        <w:t>114.</w:t>
      </w:r>
      <w:r w:rsidR="005E177B" w:rsidRPr="00F52076">
        <w:rPr>
          <w:sz w:val="24"/>
          <w:szCs w:val="24"/>
        </w:rPr>
        <w:t xml:space="preserve"> </w:t>
      </w:r>
    </w:p>
  </w:footnote>
  <w:footnote w:id="37">
    <w:p w14:paraId="3D6BA7E3" w14:textId="50E17443" w:rsidR="00592401" w:rsidRDefault="00592401">
      <w:pPr>
        <w:pStyle w:val="FootnoteText"/>
      </w:pPr>
      <w:r w:rsidRPr="00F52076">
        <w:rPr>
          <w:rStyle w:val="FootnoteReference"/>
          <w:sz w:val="24"/>
          <w:szCs w:val="24"/>
        </w:rPr>
        <w:footnoteRef/>
      </w:r>
      <w:r w:rsidRPr="00F52076">
        <w:rPr>
          <w:sz w:val="24"/>
          <w:szCs w:val="24"/>
        </w:rPr>
        <w:t xml:space="preserve"> </w:t>
      </w:r>
      <w:r w:rsidR="009B2938" w:rsidRPr="00F52076">
        <w:rPr>
          <w:i/>
          <w:iCs/>
          <w:sz w:val="24"/>
          <w:szCs w:val="24"/>
        </w:rPr>
        <w:t>Eyakwe c Canada (Citoyenneté et Immigration)</w:t>
      </w:r>
      <w:r w:rsidR="009B2938" w:rsidRPr="00F52076">
        <w:rPr>
          <w:sz w:val="24"/>
          <w:szCs w:val="24"/>
        </w:rPr>
        <w:t>, 2011 CF 409 au para</w:t>
      </w:r>
      <w:r w:rsidR="00A16B57">
        <w:rPr>
          <w:sz w:val="24"/>
          <w:szCs w:val="24"/>
        </w:rPr>
        <w:t> </w:t>
      </w:r>
      <w:r w:rsidR="009B2938" w:rsidRPr="00F52076">
        <w:rPr>
          <w:sz w:val="24"/>
          <w:szCs w:val="24"/>
        </w:rPr>
        <w:t xml:space="preserve">30.  </w:t>
      </w:r>
    </w:p>
  </w:footnote>
  <w:footnote w:id="38">
    <w:p w14:paraId="2F6BF552" w14:textId="59BC092C" w:rsidR="006F7CE3" w:rsidRPr="00F52076" w:rsidRDefault="006F7CE3">
      <w:pPr>
        <w:pStyle w:val="FootnoteText"/>
        <w:rPr>
          <w:sz w:val="24"/>
          <w:szCs w:val="24"/>
        </w:rPr>
      </w:pPr>
      <w:r w:rsidRPr="00F52076">
        <w:rPr>
          <w:rStyle w:val="FootnoteReference"/>
          <w:sz w:val="24"/>
          <w:szCs w:val="24"/>
        </w:rPr>
        <w:footnoteRef/>
      </w:r>
      <w:r w:rsidR="59F483E0" w:rsidRPr="00F52076">
        <w:rPr>
          <w:sz w:val="24"/>
          <w:szCs w:val="24"/>
        </w:rPr>
        <w:t xml:space="preserve"> </w:t>
      </w:r>
      <w:r w:rsidR="59F483E0" w:rsidRPr="59F483E0">
        <w:rPr>
          <w:i/>
          <w:iCs/>
          <w:sz w:val="24"/>
          <w:szCs w:val="24"/>
        </w:rPr>
        <w:t>A.K. c</w:t>
      </w:r>
      <w:r w:rsidR="59F483E0" w:rsidRPr="00F52076">
        <w:rPr>
          <w:sz w:val="24"/>
          <w:szCs w:val="24"/>
        </w:rPr>
        <w:t xml:space="preserve"> </w:t>
      </w:r>
      <w:r w:rsidR="59F483E0" w:rsidRPr="59F483E0">
        <w:rPr>
          <w:i/>
          <w:iCs/>
          <w:sz w:val="24"/>
          <w:szCs w:val="24"/>
        </w:rPr>
        <w:t>Canada (Ministre de la Citoyenneté et de l’Immigration)</w:t>
      </w:r>
      <w:r w:rsidR="59F483E0" w:rsidRPr="00F52076">
        <w:rPr>
          <w:sz w:val="24"/>
          <w:szCs w:val="24"/>
        </w:rPr>
        <w:t>, 2018 CF 236, au para</w:t>
      </w:r>
      <w:r w:rsidR="00A16B57">
        <w:rPr>
          <w:sz w:val="24"/>
          <w:szCs w:val="24"/>
        </w:rPr>
        <w:t> </w:t>
      </w:r>
      <w:r w:rsidR="59F483E0" w:rsidRPr="00F52076">
        <w:rPr>
          <w:sz w:val="24"/>
          <w:szCs w:val="24"/>
        </w:rPr>
        <w:t>24.</w:t>
      </w:r>
    </w:p>
  </w:footnote>
  <w:footnote w:id="39">
    <w:p w14:paraId="6F7DA770" w14:textId="179D5AF0" w:rsidR="00803BCD" w:rsidRPr="00F52076" w:rsidRDefault="00803BCD">
      <w:pPr>
        <w:pStyle w:val="FootnoteText"/>
        <w:rPr>
          <w:sz w:val="24"/>
          <w:szCs w:val="24"/>
        </w:rPr>
      </w:pPr>
      <w:r w:rsidRPr="00F52076">
        <w:rPr>
          <w:rStyle w:val="FootnoteReference"/>
          <w:sz w:val="24"/>
          <w:szCs w:val="24"/>
        </w:rPr>
        <w:footnoteRef/>
      </w:r>
      <w:r w:rsidR="34CBF2B8" w:rsidRPr="00F52076">
        <w:rPr>
          <w:sz w:val="24"/>
          <w:szCs w:val="24"/>
        </w:rPr>
        <w:t xml:space="preserve"> </w:t>
      </w:r>
      <w:r w:rsidR="34CBF2B8" w:rsidRPr="34CBF2B8">
        <w:rPr>
          <w:i/>
          <w:iCs/>
          <w:sz w:val="24"/>
          <w:szCs w:val="24"/>
        </w:rPr>
        <w:t xml:space="preserve">Chowdhury </w:t>
      </w:r>
      <w:r w:rsidR="34CBF2B8">
        <w:rPr>
          <w:sz w:val="24"/>
          <w:szCs w:val="24"/>
        </w:rPr>
        <w:t>CF,</w:t>
      </w:r>
      <w:r w:rsidR="34CBF2B8" w:rsidRPr="34CBF2B8">
        <w:rPr>
          <w:i/>
          <w:iCs/>
          <w:sz w:val="24"/>
          <w:szCs w:val="24"/>
        </w:rPr>
        <w:t xml:space="preserve"> supra </w:t>
      </w:r>
      <w:r w:rsidR="34CBF2B8" w:rsidRPr="00F52076">
        <w:rPr>
          <w:sz w:val="24"/>
          <w:szCs w:val="24"/>
        </w:rPr>
        <w:t>note</w:t>
      </w:r>
      <w:r w:rsidR="00A16B57">
        <w:rPr>
          <w:sz w:val="24"/>
          <w:szCs w:val="24"/>
        </w:rPr>
        <w:t> </w:t>
      </w:r>
      <w:r w:rsidR="34CBF2B8" w:rsidRPr="00F52076">
        <w:rPr>
          <w:sz w:val="24"/>
          <w:szCs w:val="24"/>
        </w:rPr>
        <w:t>13</w:t>
      </w:r>
      <w:r w:rsidR="00A841AF">
        <w:rPr>
          <w:sz w:val="24"/>
          <w:szCs w:val="24"/>
        </w:rPr>
        <w:t xml:space="preserve"> </w:t>
      </w:r>
      <w:r w:rsidR="34CBF2B8" w:rsidRPr="00F52076">
        <w:rPr>
          <w:sz w:val="24"/>
          <w:szCs w:val="24"/>
        </w:rPr>
        <w:t>aux para</w:t>
      </w:r>
      <w:r w:rsidR="00A16B57">
        <w:rPr>
          <w:sz w:val="24"/>
          <w:szCs w:val="24"/>
        </w:rPr>
        <w:t> </w:t>
      </w:r>
      <w:r w:rsidR="34CBF2B8" w:rsidRPr="00F52076">
        <w:rPr>
          <w:sz w:val="24"/>
          <w:szCs w:val="24"/>
        </w:rPr>
        <w:t xml:space="preserve">26 et </w:t>
      </w:r>
      <w:r w:rsidR="34CBF2B8">
        <w:rPr>
          <w:sz w:val="24"/>
          <w:szCs w:val="24"/>
        </w:rPr>
        <w:t>s.</w:t>
      </w:r>
    </w:p>
  </w:footnote>
  <w:footnote w:id="40">
    <w:p w14:paraId="3577B904" w14:textId="2ABC5862" w:rsidR="00D21F3D" w:rsidRPr="0067668F" w:rsidRDefault="00D21F3D" w:rsidP="00D21F3D">
      <w:pPr>
        <w:pStyle w:val="FootnoteText"/>
      </w:pPr>
      <w:r w:rsidRPr="7403D796">
        <w:rPr>
          <w:rStyle w:val="FootnoteReference"/>
          <w:rFonts w:eastAsia="Times New Roman"/>
          <w:sz w:val="24"/>
          <w:szCs w:val="24"/>
        </w:rPr>
        <w:footnoteRef/>
      </w:r>
      <w:r w:rsidR="765A1494" w:rsidRPr="7403D796">
        <w:rPr>
          <w:rFonts w:eastAsia="Times New Roman"/>
          <w:sz w:val="24"/>
          <w:szCs w:val="24"/>
        </w:rPr>
        <w:t xml:space="preserve"> </w:t>
      </w:r>
      <w:r w:rsidR="765A1494" w:rsidRPr="765A1494">
        <w:rPr>
          <w:i/>
          <w:iCs/>
          <w:sz w:val="24"/>
          <w:szCs w:val="24"/>
        </w:rPr>
        <w:t>Islam c Canada (Sécurité publique et Protection civile),</w:t>
      </w:r>
      <w:r w:rsidR="765A1494" w:rsidRPr="00BA5870">
        <w:rPr>
          <w:sz w:val="24"/>
          <w:szCs w:val="24"/>
        </w:rPr>
        <w:t xml:space="preserve"> 2021 CF 108 </w:t>
      </w:r>
      <w:r w:rsidR="765A1494">
        <w:rPr>
          <w:sz w:val="24"/>
          <w:szCs w:val="24"/>
        </w:rPr>
        <w:t>au para</w:t>
      </w:r>
      <w:r w:rsidR="00A16B57">
        <w:rPr>
          <w:sz w:val="24"/>
          <w:szCs w:val="24"/>
        </w:rPr>
        <w:t> </w:t>
      </w:r>
      <w:r w:rsidR="765A1494">
        <w:rPr>
          <w:sz w:val="24"/>
          <w:szCs w:val="24"/>
        </w:rPr>
        <w:t>20.</w:t>
      </w:r>
    </w:p>
  </w:footnote>
  <w:footnote w:id="41">
    <w:p w14:paraId="67982E16" w14:textId="4AC3FAF3" w:rsidR="00FF53DA" w:rsidRPr="00DE3713" w:rsidRDefault="00FF53DA" w:rsidP="00FF53DA">
      <w:pPr>
        <w:pStyle w:val="FootnoteText"/>
      </w:pPr>
      <w:r w:rsidRPr="00F52076">
        <w:rPr>
          <w:rStyle w:val="FootnoteReference"/>
          <w:sz w:val="24"/>
          <w:szCs w:val="24"/>
        </w:rPr>
        <w:footnoteRef/>
      </w:r>
      <w:r w:rsidRPr="00F52076">
        <w:rPr>
          <w:sz w:val="24"/>
          <w:szCs w:val="24"/>
        </w:rPr>
        <w:t xml:space="preserve"> </w:t>
      </w:r>
      <w:r w:rsidRPr="00F52076">
        <w:rPr>
          <w:i/>
          <w:iCs/>
          <w:sz w:val="24"/>
          <w:szCs w:val="24"/>
        </w:rPr>
        <w:t>Oremade c Canada (Ministre de la Citoyenneté et de l</w:t>
      </w:r>
      <w:r w:rsidR="00A16B57">
        <w:rPr>
          <w:i/>
          <w:iCs/>
          <w:sz w:val="24"/>
          <w:szCs w:val="24"/>
        </w:rPr>
        <w:t>’</w:t>
      </w:r>
      <w:r w:rsidRPr="00F52076">
        <w:rPr>
          <w:i/>
          <w:iCs/>
          <w:sz w:val="24"/>
          <w:szCs w:val="24"/>
        </w:rPr>
        <w:t>Immigration)</w:t>
      </w:r>
      <w:r w:rsidRPr="00F52076">
        <w:rPr>
          <w:sz w:val="24"/>
          <w:szCs w:val="24"/>
        </w:rPr>
        <w:t>, 2005 CF 1077 au</w:t>
      </w:r>
      <w:r w:rsidR="001F7B7A" w:rsidRPr="00F52076">
        <w:rPr>
          <w:sz w:val="24"/>
          <w:szCs w:val="24"/>
        </w:rPr>
        <w:t>x</w:t>
      </w:r>
      <w:r w:rsidRPr="00F52076">
        <w:rPr>
          <w:sz w:val="24"/>
          <w:szCs w:val="24"/>
        </w:rPr>
        <w:t xml:space="preserve"> para</w:t>
      </w:r>
      <w:r w:rsidR="00A16B57">
        <w:rPr>
          <w:sz w:val="24"/>
          <w:szCs w:val="24"/>
        </w:rPr>
        <w:t> </w:t>
      </w:r>
      <w:r w:rsidRPr="00F52076">
        <w:rPr>
          <w:sz w:val="24"/>
          <w:szCs w:val="24"/>
        </w:rPr>
        <w:t>21 et 22.</w:t>
      </w:r>
      <w:r w:rsidRPr="00DE3713">
        <w:rPr>
          <w:sz w:val="24"/>
          <w:szCs w:val="24"/>
        </w:rPr>
        <w:t xml:space="preserve">  </w:t>
      </w:r>
    </w:p>
  </w:footnote>
  <w:footnote w:id="42">
    <w:p w14:paraId="3F570589" w14:textId="37073CFC" w:rsidR="00B648AB" w:rsidRPr="00F52076" w:rsidRDefault="00B648AB">
      <w:pPr>
        <w:pStyle w:val="FootnoteText"/>
        <w:rPr>
          <w:sz w:val="24"/>
          <w:szCs w:val="24"/>
        </w:rPr>
      </w:pPr>
      <w:r w:rsidRPr="00F52076">
        <w:rPr>
          <w:rStyle w:val="FootnoteReference"/>
          <w:sz w:val="24"/>
          <w:szCs w:val="24"/>
        </w:rPr>
        <w:footnoteRef/>
      </w:r>
      <w:r w:rsidR="2807615B" w:rsidRPr="00F52076">
        <w:rPr>
          <w:sz w:val="24"/>
          <w:szCs w:val="24"/>
        </w:rPr>
        <w:t xml:space="preserve"> </w:t>
      </w:r>
      <w:r w:rsidR="2807615B" w:rsidRPr="2807615B">
        <w:rPr>
          <w:i/>
          <w:iCs/>
          <w:sz w:val="24"/>
          <w:szCs w:val="24"/>
        </w:rPr>
        <w:t>Zahw c</w:t>
      </w:r>
      <w:r w:rsidR="2807615B" w:rsidRPr="00F52076">
        <w:rPr>
          <w:sz w:val="24"/>
          <w:szCs w:val="24"/>
        </w:rPr>
        <w:t xml:space="preserve"> </w:t>
      </w:r>
      <w:r w:rsidR="2807615B" w:rsidRPr="2807615B">
        <w:rPr>
          <w:i/>
          <w:iCs/>
          <w:sz w:val="24"/>
          <w:szCs w:val="24"/>
        </w:rPr>
        <w:t>Canada (Sécurité publique et Protection civile),</w:t>
      </w:r>
      <w:r w:rsidR="2807615B" w:rsidRPr="00F52076">
        <w:rPr>
          <w:sz w:val="24"/>
          <w:szCs w:val="24"/>
        </w:rPr>
        <w:t xml:space="preserve"> 2019 CF 934 aux para</w:t>
      </w:r>
      <w:r w:rsidR="00A16B57">
        <w:rPr>
          <w:sz w:val="24"/>
          <w:szCs w:val="24"/>
        </w:rPr>
        <w:t> </w:t>
      </w:r>
      <w:r w:rsidR="2807615B" w:rsidRPr="00F52076">
        <w:rPr>
          <w:sz w:val="24"/>
          <w:szCs w:val="24"/>
        </w:rPr>
        <w:t xml:space="preserve">50 et 51. </w:t>
      </w:r>
    </w:p>
  </w:footnote>
  <w:footnote w:id="43">
    <w:p w14:paraId="60EF8B42" w14:textId="2A901B5F" w:rsidR="00AB18B4" w:rsidRPr="00F52076" w:rsidRDefault="00AB18B4">
      <w:pPr>
        <w:pStyle w:val="FootnoteText"/>
        <w:rPr>
          <w:sz w:val="24"/>
          <w:szCs w:val="24"/>
        </w:rPr>
      </w:pPr>
      <w:r w:rsidRPr="00F52076">
        <w:rPr>
          <w:rStyle w:val="FootnoteReference"/>
          <w:sz w:val="24"/>
          <w:szCs w:val="24"/>
        </w:rPr>
        <w:footnoteRef/>
      </w:r>
      <w:r w:rsidR="35709C8A" w:rsidRPr="00F52076">
        <w:rPr>
          <w:sz w:val="24"/>
          <w:szCs w:val="24"/>
        </w:rPr>
        <w:t xml:space="preserve"> </w:t>
      </w:r>
      <w:r w:rsidR="35709C8A" w:rsidRPr="35709C8A">
        <w:rPr>
          <w:i/>
          <w:iCs/>
          <w:sz w:val="24"/>
          <w:szCs w:val="24"/>
        </w:rPr>
        <w:t>Niyungeko c Canada (Citoyenneté et Immigration)</w:t>
      </w:r>
      <w:r w:rsidR="35709C8A" w:rsidRPr="57EA1AD1">
        <w:rPr>
          <w:sz w:val="24"/>
          <w:szCs w:val="24"/>
        </w:rPr>
        <w:t>, 2019 CF 820</w:t>
      </w:r>
      <w:r w:rsidR="35709C8A" w:rsidRPr="00F52076">
        <w:rPr>
          <w:sz w:val="24"/>
          <w:szCs w:val="24"/>
        </w:rPr>
        <w:t xml:space="preserve"> [</w:t>
      </w:r>
      <w:r w:rsidR="35709C8A" w:rsidRPr="35709C8A">
        <w:rPr>
          <w:i/>
          <w:iCs/>
          <w:sz w:val="24"/>
          <w:szCs w:val="24"/>
        </w:rPr>
        <w:t>Niyungeko</w:t>
      </w:r>
      <w:r w:rsidR="35709C8A" w:rsidRPr="35709C8A">
        <w:rPr>
          <w:sz w:val="24"/>
          <w:szCs w:val="24"/>
        </w:rPr>
        <w:t>]</w:t>
      </w:r>
    </w:p>
  </w:footnote>
  <w:footnote w:id="44">
    <w:p w14:paraId="1D2D8D63" w14:textId="2EF9855D" w:rsidR="001F7B7A" w:rsidRPr="00F52076" w:rsidRDefault="001F7B7A">
      <w:pPr>
        <w:pStyle w:val="FootnoteText"/>
        <w:rPr>
          <w:sz w:val="24"/>
          <w:szCs w:val="24"/>
        </w:rPr>
      </w:pPr>
      <w:r w:rsidRPr="00F52076">
        <w:rPr>
          <w:rStyle w:val="FootnoteReference"/>
          <w:sz w:val="24"/>
          <w:szCs w:val="24"/>
        </w:rPr>
        <w:footnoteRef/>
      </w:r>
      <w:r w:rsidR="35709C8A" w:rsidRPr="00F52076">
        <w:rPr>
          <w:sz w:val="24"/>
          <w:szCs w:val="24"/>
        </w:rPr>
        <w:t xml:space="preserve"> </w:t>
      </w:r>
      <w:r w:rsidR="35709C8A" w:rsidRPr="35709C8A">
        <w:rPr>
          <w:i/>
          <w:iCs/>
          <w:sz w:val="24"/>
          <w:szCs w:val="24"/>
        </w:rPr>
        <w:t xml:space="preserve">Rana, supra </w:t>
      </w:r>
      <w:r w:rsidR="35709C8A">
        <w:rPr>
          <w:sz w:val="24"/>
          <w:szCs w:val="24"/>
        </w:rPr>
        <w:t>note</w:t>
      </w:r>
      <w:r w:rsidR="00A16B57">
        <w:rPr>
          <w:sz w:val="24"/>
          <w:szCs w:val="24"/>
        </w:rPr>
        <w:t> </w:t>
      </w:r>
      <w:r w:rsidR="35709C8A">
        <w:rPr>
          <w:sz w:val="24"/>
          <w:szCs w:val="24"/>
        </w:rPr>
        <w:t xml:space="preserve">22 </w:t>
      </w:r>
      <w:r w:rsidR="35709C8A" w:rsidRPr="00F52076">
        <w:rPr>
          <w:sz w:val="24"/>
          <w:szCs w:val="24"/>
        </w:rPr>
        <w:t>aux para</w:t>
      </w:r>
      <w:r w:rsidR="00A16B57">
        <w:rPr>
          <w:sz w:val="24"/>
          <w:szCs w:val="24"/>
        </w:rPr>
        <w:t> </w:t>
      </w:r>
      <w:r w:rsidR="35709C8A" w:rsidRPr="00F52076">
        <w:rPr>
          <w:sz w:val="24"/>
          <w:szCs w:val="24"/>
        </w:rPr>
        <w:t>66 et 77.</w:t>
      </w:r>
    </w:p>
  </w:footnote>
  <w:footnote w:id="45">
    <w:p w14:paraId="17B9DDDA" w14:textId="3B989823" w:rsidR="00884A41" w:rsidRPr="00F52076" w:rsidRDefault="00884A41">
      <w:pPr>
        <w:pStyle w:val="FootnoteText"/>
        <w:rPr>
          <w:sz w:val="24"/>
          <w:szCs w:val="24"/>
        </w:rPr>
      </w:pPr>
      <w:r w:rsidRPr="00F52076">
        <w:rPr>
          <w:rStyle w:val="FootnoteReference"/>
          <w:sz w:val="24"/>
          <w:szCs w:val="24"/>
        </w:rPr>
        <w:footnoteRef/>
      </w:r>
      <w:r w:rsidR="35709C8A" w:rsidRPr="00F52076">
        <w:rPr>
          <w:sz w:val="24"/>
          <w:szCs w:val="24"/>
        </w:rPr>
        <w:t xml:space="preserve"> </w:t>
      </w:r>
      <w:r w:rsidR="35709C8A" w:rsidRPr="35709C8A">
        <w:rPr>
          <w:i/>
          <w:iCs/>
          <w:sz w:val="24"/>
          <w:szCs w:val="24"/>
        </w:rPr>
        <w:t xml:space="preserve">Chowdhury </w:t>
      </w:r>
      <w:r w:rsidR="35709C8A">
        <w:rPr>
          <w:sz w:val="24"/>
          <w:szCs w:val="24"/>
        </w:rPr>
        <w:t>CF</w:t>
      </w:r>
      <w:r w:rsidR="004C608C">
        <w:rPr>
          <w:i/>
          <w:iCs/>
          <w:sz w:val="24"/>
          <w:szCs w:val="24"/>
        </w:rPr>
        <w:t xml:space="preserve"> </w:t>
      </w:r>
      <w:r w:rsidR="35709C8A" w:rsidRPr="35709C8A">
        <w:rPr>
          <w:i/>
          <w:iCs/>
          <w:sz w:val="24"/>
          <w:szCs w:val="24"/>
        </w:rPr>
        <w:t xml:space="preserve">supra </w:t>
      </w:r>
      <w:r w:rsidR="35709C8A">
        <w:rPr>
          <w:sz w:val="24"/>
          <w:szCs w:val="24"/>
        </w:rPr>
        <w:t>note</w:t>
      </w:r>
      <w:r w:rsidR="00A16B57">
        <w:rPr>
          <w:sz w:val="24"/>
          <w:szCs w:val="24"/>
        </w:rPr>
        <w:t> </w:t>
      </w:r>
      <w:r w:rsidR="35709C8A">
        <w:rPr>
          <w:sz w:val="24"/>
          <w:szCs w:val="24"/>
        </w:rPr>
        <w:t xml:space="preserve">13 </w:t>
      </w:r>
      <w:r w:rsidR="35709C8A" w:rsidRPr="00F52076">
        <w:rPr>
          <w:sz w:val="24"/>
          <w:szCs w:val="24"/>
        </w:rPr>
        <w:t>au para</w:t>
      </w:r>
      <w:r w:rsidR="00A16B57">
        <w:rPr>
          <w:sz w:val="24"/>
          <w:szCs w:val="24"/>
        </w:rPr>
        <w:t> </w:t>
      </w:r>
      <w:r w:rsidR="35709C8A" w:rsidRPr="00F52076">
        <w:rPr>
          <w:sz w:val="24"/>
          <w:szCs w:val="24"/>
        </w:rPr>
        <w:t xml:space="preserve">23. </w:t>
      </w:r>
    </w:p>
  </w:footnote>
  <w:footnote w:id="46">
    <w:p w14:paraId="420CFA3C" w14:textId="37574140" w:rsidR="00950766" w:rsidRDefault="00950766">
      <w:pPr>
        <w:pStyle w:val="FootnoteText"/>
      </w:pPr>
      <w:r w:rsidRPr="00F52076">
        <w:rPr>
          <w:rStyle w:val="FootnoteReference"/>
          <w:sz w:val="24"/>
          <w:szCs w:val="24"/>
        </w:rPr>
        <w:footnoteRef/>
      </w:r>
      <w:r w:rsidR="37ADEB9F" w:rsidRPr="00F52076">
        <w:rPr>
          <w:sz w:val="24"/>
          <w:szCs w:val="24"/>
        </w:rPr>
        <w:t xml:space="preserve"> </w:t>
      </w:r>
      <w:r w:rsidR="37ADEB9F" w:rsidRPr="37ADEB9F">
        <w:rPr>
          <w:i/>
          <w:iCs/>
          <w:sz w:val="24"/>
          <w:szCs w:val="24"/>
        </w:rPr>
        <w:t>Chowdhury</w:t>
      </w:r>
      <w:r w:rsidR="37ADEB9F" w:rsidRPr="00F52076">
        <w:rPr>
          <w:sz w:val="24"/>
          <w:szCs w:val="24"/>
        </w:rPr>
        <w:t xml:space="preserve">, agent d’immigration, </w:t>
      </w:r>
      <w:r w:rsidR="37ADEB9F" w:rsidRPr="37ADEB9F">
        <w:rPr>
          <w:i/>
          <w:iCs/>
          <w:sz w:val="24"/>
          <w:szCs w:val="24"/>
        </w:rPr>
        <w:t xml:space="preserve">supra </w:t>
      </w:r>
      <w:r w:rsidR="37ADEB9F" w:rsidRPr="00F52076">
        <w:rPr>
          <w:sz w:val="24"/>
          <w:szCs w:val="24"/>
        </w:rPr>
        <w:t>note</w:t>
      </w:r>
      <w:r w:rsidR="00A16B57">
        <w:rPr>
          <w:sz w:val="24"/>
          <w:szCs w:val="24"/>
        </w:rPr>
        <w:t> </w:t>
      </w:r>
      <w:r w:rsidR="37ADEB9F" w:rsidRPr="00F52076">
        <w:rPr>
          <w:sz w:val="24"/>
          <w:szCs w:val="24"/>
        </w:rPr>
        <w:t>4 au para</w:t>
      </w:r>
      <w:r w:rsidR="00A16B57">
        <w:rPr>
          <w:sz w:val="24"/>
          <w:szCs w:val="24"/>
        </w:rPr>
        <w:t> </w:t>
      </w:r>
      <w:r w:rsidR="37ADEB9F" w:rsidRPr="00F52076">
        <w:rPr>
          <w:sz w:val="24"/>
          <w:szCs w:val="24"/>
        </w:rPr>
        <w:t>33.</w:t>
      </w:r>
    </w:p>
  </w:footnote>
  <w:footnote w:id="47">
    <w:p w14:paraId="0F45E572" w14:textId="3246CC7F" w:rsidR="007D3E06" w:rsidRPr="007D3E06" w:rsidRDefault="007D3E06" w:rsidP="70488CBA">
      <w:pPr>
        <w:pStyle w:val="FootnoteText"/>
        <w:rPr>
          <w:i/>
          <w:iCs/>
        </w:rPr>
      </w:pPr>
      <w:r w:rsidRPr="7403D796">
        <w:rPr>
          <w:rStyle w:val="FootnoteReference"/>
          <w:rFonts w:eastAsia="Times New Roman"/>
          <w:sz w:val="24"/>
          <w:szCs w:val="24"/>
        </w:rPr>
        <w:footnoteRef/>
      </w:r>
      <w:r w:rsidR="70488CBA" w:rsidRPr="7403D796">
        <w:rPr>
          <w:rFonts w:eastAsia="Times New Roman"/>
          <w:sz w:val="24"/>
          <w:szCs w:val="24"/>
        </w:rPr>
        <w:t xml:space="preserve"> </w:t>
      </w:r>
      <w:r w:rsidR="70488CBA" w:rsidRPr="70488CBA">
        <w:rPr>
          <w:i/>
          <w:iCs/>
          <w:sz w:val="24"/>
          <w:szCs w:val="24"/>
        </w:rPr>
        <w:t>Islam</w:t>
      </w:r>
      <w:r w:rsidR="004C608C">
        <w:rPr>
          <w:i/>
          <w:iCs/>
          <w:sz w:val="24"/>
          <w:szCs w:val="24"/>
        </w:rPr>
        <w:t>,</w:t>
      </w:r>
      <w:r w:rsidR="70488CBA" w:rsidRPr="70488CBA">
        <w:rPr>
          <w:i/>
          <w:iCs/>
          <w:sz w:val="24"/>
          <w:szCs w:val="24"/>
        </w:rPr>
        <w:t xml:space="preserve"> supra note</w:t>
      </w:r>
      <w:r w:rsidR="00A16B57">
        <w:rPr>
          <w:sz w:val="24"/>
          <w:szCs w:val="24"/>
        </w:rPr>
        <w:t> </w:t>
      </w:r>
      <w:r w:rsidR="70488CBA" w:rsidRPr="70488CBA">
        <w:rPr>
          <w:sz w:val="24"/>
          <w:szCs w:val="24"/>
        </w:rPr>
        <w:t>39</w:t>
      </w:r>
      <w:r w:rsidR="004C608C">
        <w:rPr>
          <w:sz w:val="24"/>
          <w:szCs w:val="24"/>
        </w:rPr>
        <w:t xml:space="preserve"> </w:t>
      </w:r>
      <w:r w:rsidR="70488CBA" w:rsidRPr="00BA5870">
        <w:rPr>
          <w:sz w:val="24"/>
          <w:szCs w:val="24"/>
        </w:rPr>
        <w:t>au para</w:t>
      </w:r>
      <w:r w:rsidR="00A16B57">
        <w:rPr>
          <w:sz w:val="24"/>
          <w:szCs w:val="24"/>
        </w:rPr>
        <w:t> </w:t>
      </w:r>
      <w:r w:rsidR="70488CBA">
        <w:rPr>
          <w:sz w:val="24"/>
          <w:szCs w:val="24"/>
        </w:rPr>
        <w:t>22</w:t>
      </w:r>
      <w:r w:rsidR="70488CBA" w:rsidRPr="00BA5870">
        <w:rPr>
          <w:sz w:val="24"/>
          <w:szCs w:val="24"/>
        </w:rPr>
        <w:t>.</w:t>
      </w:r>
    </w:p>
  </w:footnote>
  <w:footnote w:id="48">
    <w:p w14:paraId="019B5E40" w14:textId="47ADE807" w:rsidR="00BE6E6A" w:rsidRDefault="00BE6E6A">
      <w:pPr>
        <w:pStyle w:val="FootnoteText"/>
      </w:pPr>
      <w:r w:rsidRPr="7403D796">
        <w:rPr>
          <w:rStyle w:val="FootnoteReference"/>
          <w:rFonts w:eastAsia="Times New Roman"/>
          <w:sz w:val="24"/>
          <w:szCs w:val="24"/>
        </w:rPr>
        <w:footnoteRef/>
      </w:r>
      <w:r w:rsidR="7F15EABB" w:rsidRPr="7403D796">
        <w:rPr>
          <w:rFonts w:eastAsia="Times New Roman"/>
          <w:sz w:val="24"/>
          <w:szCs w:val="24"/>
        </w:rPr>
        <w:t xml:space="preserve"> </w:t>
      </w:r>
      <w:r w:rsidR="7F15EABB" w:rsidRPr="7F15EABB">
        <w:rPr>
          <w:i/>
          <w:iCs/>
          <w:sz w:val="24"/>
          <w:szCs w:val="24"/>
        </w:rPr>
        <w:t>Loi sur l</w:t>
      </w:r>
      <w:r w:rsidR="00A16B57">
        <w:rPr>
          <w:i/>
          <w:iCs/>
          <w:sz w:val="24"/>
          <w:szCs w:val="24"/>
        </w:rPr>
        <w:t>’</w:t>
      </w:r>
      <w:r w:rsidR="7F15EABB" w:rsidRPr="7F15EABB">
        <w:rPr>
          <w:i/>
          <w:iCs/>
          <w:sz w:val="24"/>
          <w:szCs w:val="24"/>
        </w:rPr>
        <w:t>immigration</w:t>
      </w:r>
      <w:r w:rsidR="7F15EABB" w:rsidRPr="009A388A">
        <w:rPr>
          <w:sz w:val="24"/>
          <w:szCs w:val="24"/>
        </w:rPr>
        <w:t>, L.R.C. 1985, c. I</w:t>
      </w:r>
      <w:r w:rsidR="7F15EABB" w:rsidRPr="009A388A">
        <w:rPr>
          <w:sz w:val="24"/>
          <w:szCs w:val="24"/>
        </w:rPr>
        <w:noBreakHyphen/>
        <w:t>2</w:t>
      </w:r>
      <w:r w:rsidR="7F15EABB">
        <w:rPr>
          <w:sz w:val="24"/>
          <w:szCs w:val="24"/>
        </w:rPr>
        <w:t>.</w:t>
      </w:r>
    </w:p>
  </w:footnote>
  <w:footnote w:id="49">
    <w:p w14:paraId="10C4321F" w14:textId="02CC1F3E" w:rsidR="000C5913" w:rsidRPr="00F52076" w:rsidRDefault="000C5913" w:rsidP="000C5913">
      <w:pPr>
        <w:pStyle w:val="FootnoteText"/>
        <w:rPr>
          <w:sz w:val="24"/>
          <w:szCs w:val="24"/>
        </w:rPr>
      </w:pPr>
      <w:r w:rsidRPr="00F52076">
        <w:rPr>
          <w:rStyle w:val="FootnoteReference"/>
          <w:sz w:val="24"/>
          <w:szCs w:val="24"/>
        </w:rPr>
        <w:footnoteRef/>
      </w:r>
      <w:r w:rsidR="70488CBA" w:rsidRPr="00F52076">
        <w:rPr>
          <w:sz w:val="24"/>
          <w:szCs w:val="24"/>
        </w:rPr>
        <w:t xml:space="preserve"> </w:t>
      </w:r>
      <w:r w:rsidR="70488CBA" w:rsidRPr="70488CBA">
        <w:rPr>
          <w:i/>
          <w:iCs/>
          <w:sz w:val="24"/>
          <w:szCs w:val="24"/>
        </w:rPr>
        <w:t xml:space="preserve">Al Yamani </w:t>
      </w:r>
      <w:r w:rsidR="70488CBA" w:rsidRPr="00F52076">
        <w:rPr>
          <w:sz w:val="24"/>
          <w:szCs w:val="24"/>
        </w:rPr>
        <w:t xml:space="preserve">c. </w:t>
      </w:r>
      <w:r w:rsidR="70488CBA" w:rsidRPr="70488CBA">
        <w:rPr>
          <w:i/>
          <w:iCs/>
          <w:sz w:val="24"/>
          <w:szCs w:val="24"/>
        </w:rPr>
        <w:t>Canada (Ministre de la citoyenneté et de l’immigration),</w:t>
      </w:r>
      <w:r w:rsidR="70488CBA" w:rsidRPr="00F52076">
        <w:rPr>
          <w:sz w:val="24"/>
          <w:szCs w:val="24"/>
        </w:rPr>
        <w:t xml:space="preserve"> [2000] 3 C.F.</w:t>
      </w:r>
      <w:r w:rsidR="00A16B57">
        <w:rPr>
          <w:sz w:val="24"/>
          <w:szCs w:val="24"/>
        </w:rPr>
        <w:t> </w:t>
      </w:r>
      <w:r w:rsidR="70488CBA" w:rsidRPr="00F52076">
        <w:rPr>
          <w:sz w:val="24"/>
          <w:szCs w:val="24"/>
        </w:rPr>
        <w:t>433</w:t>
      </w:r>
      <w:r w:rsidR="70488CBA">
        <w:rPr>
          <w:sz w:val="24"/>
          <w:szCs w:val="24"/>
        </w:rPr>
        <w:t xml:space="preserve"> </w:t>
      </w:r>
      <w:r w:rsidR="70488CBA" w:rsidRPr="00F52076">
        <w:rPr>
          <w:sz w:val="24"/>
          <w:szCs w:val="24"/>
        </w:rPr>
        <w:t>[</w:t>
      </w:r>
      <w:r w:rsidR="70488CBA" w:rsidRPr="70488CBA">
        <w:rPr>
          <w:i/>
          <w:iCs/>
          <w:sz w:val="24"/>
          <w:szCs w:val="24"/>
        </w:rPr>
        <w:t>Al Yamani</w:t>
      </w:r>
      <w:r w:rsidR="00A16B57">
        <w:rPr>
          <w:i/>
          <w:iCs/>
          <w:sz w:val="24"/>
          <w:szCs w:val="24"/>
        </w:rPr>
        <w:t> </w:t>
      </w:r>
      <w:r w:rsidR="70488CBA" w:rsidRPr="70488CBA">
        <w:rPr>
          <w:i/>
          <w:iCs/>
          <w:sz w:val="24"/>
          <w:szCs w:val="24"/>
        </w:rPr>
        <w:t>1</w:t>
      </w:r>
      <w:r w:rsidR="70488CBA" w:rsidRPr="00F52076">
        <w:rPr>
          <w:sz w:val="24"/>
          <w:szCs w:val="24"/>
        </w:rPr>
        <w:t>], aux para</w:t>
      </w:r>
      <w:r w:rsidR="00A16B57">
        <w:rPr>
          <w:sz w:val="24"/>
          <w:szCs w:val="24"/>
        </w:rPr>
        <w:t> </w:t>
      </w:r>
      <w:r w:rsidR="70488CBA" w:rsidRPr="00F52076">
        <w:rPr>
          <w:sz w:val="24"/>
          <w:szCs w:val="24"/>
        </w:rPr>
        <w:t xml:space="preserve">50 et s. </w:t>
      </w:r>
    </w:p>
  </w:footnote>
  <w:footnote w:id="50">
    <w:p w14:paraId="51C39864" w14:textId="39AEFF94" w:rsidR="000C5913" w:rsidRPr="00F52076" w:rsidRDefault="000C5913" w:rsidP="000C5913">
      <w:pPr>
        <w:pStyle w:val="FootnoteText"/>
        <w:rPr>
          <w:sz w:val="24"/>
          <w:szCs w:val="24"/>
        </w:rPr>
      </w:pPr>
      <w:r w:rsidRPr="00F52076">
        <w:rPr>
          <w:rStyle w:val="FootnoteReference"/>
          <w:sz w:val="24"/>
          <w:szCs w:val="24"/>
        </w:rPr>
        <w:footnoteRef/>
      </w:r>
      <w:r w:rsidRPr="00F52076">
        <w:rPr>
          <w:sz w:val="24"/>
          <w:szCs w:val="24"/>
        </w:rPr>
        <w:t xml:space="preserve"> </w:t>
      </w:r>
      <w:r w:rsidRPr="00F52076">
        <w:rPr>
          <w:i/>
          <w:iCs/>
          <w:sz w:val="24"/>
          <w:szCs w:val="24"/>
        </w:rPr>
        <w:t>I</w:t>
      </w:r>
      <w:r w:rsidR="004C608C">
        <w:rPr>
          <w:i/>
          <w:iCs/>
          <w:sz w:val="24"/>
          <w:szCs w:val="24"/>
        </w:rPr>
        <w:t>bid</w:t>
      </w:r>
      <w:r w:rsidRPr="00F52076">
        <w:rPr>
          <w:i/>
          <w:iCs/>
          <w:sz w:val="24"/>
          <w:szCs w:val="24"/>
        </w:rPr>
        <w:t xml:space="preserve"> </w:t>
      </w:r>
      <w:r w:rsidRPr="00F52076">
        <w:rPr>
          <w:sz w:val="24"/>
          <w:szCs w:val="24"/>
        </w:rPr>
        <w:t>aux para</w:t>
      </w:r>
      <w:r w:rsidR="00A16B57">
        <w:rPr>
          <w:sz w:val="24"/>
          <w:szCs w:val="24"/>
        </w:rPr>
        <w:t> </w:t>
      </w:r>
      <w:r w:rsidRPr="00F52076">
        <w:rPr>
          <w:sz w:val="24"/>
          <w:szCs w:val="24"/>
        </w:rPr>
        <w:t>52 et 54</w:t>
      </w:r>
      <w:r w:rsidR="00F301A9">
        <w:rPr>
          <w:sz w:val="24"/>
          <w:szCs w:val="24"/>
        </w:rPr>
        <w:t>.</w:t>
      </w:r>
    </w:p>
  </w:footnote>
  <w:footnote w:id="51">
    <w:p w14:paraId="57BA18F5" w14:textId="42A76A8A" w:rsidR="000C5913" w:rsidRDefault="000C5913" w:rsidP="000C5913">
      <w:pPr>
        <w:pStyle w:val="FootnoteText"/>
      </w:pPr>
      <w:r w:rsidRPr="00F52076">
        <w:rPr>
          <w:rStyle w:val="FootnoteReference"/>
          <w:sz w:val="24"/>
          <w:szCs w:val="24"/>
        </w:rPr>
        <w:footnoteRef/>
      </w:r>
      <w:r w:rsidRPr="00F52076">
        <w:rPr>
          <w:sz w:val="24"/>
          <w:szCs w:val="24"/>
        </w:rPr>
        <w:t xml:space="preserve"> </w:t>
      </w:r>
      <w:r w:rsidRPr="00F52076">
        <w:rPr>
          <w:i/>
          <w:iCs/>
          <w:sz w:val="24"/>
          <w:szCs w:val="24"/>
        </w:rPr>
        <w:t xml:space="preserve">Qu </w:t>
      </w:r>
      <w:r w:rsidRPr="00F52076">
        <w:rPr>
          <w:sz w:val="24"/>
          <w:szCs w:val="24"/>
        </w:rPr>
        <w:t xml:space="preserve">c. </w:t>
      </w:r>
      <w:r w:rsidRPr="00F52076">
        <w:rPr>
          <w:i/>
          <w:iCs/>
          <w:sz w:val="24"/>
          <w:szCs w:val="24"/>
        </w:rPr>
        <w:t>Canada (Ministre de la Citoyenneté et de l’Immigration</w:t>
      </w:r>
      <w:r w:rsidRPr="00F52076">
        <w:rPr>
          <w:sz w:val="24"/>
          <w:szCs w:val="24"/>
        </w:rPr>
        <w:t>), 2001 CAF 399 au para</w:t>
      </w:r>
      <w:r w:rsidR="00A16B57">
        <w:rPr>
          <w:sz w:val="24"/>
          <w:szCs w:val="24"/>
        </w:rPr>
        <w:t> </w:t>
      </w:r>
      <w:r w:rsidRPr="00F52076">
        <w:rPr>
          <w:sz w:val="24"/>
          <w:szCs w:val="24"/>
        </w:rPr>
        <w:t>12</w:t>
      </w:r>
    </w:p>
  </w:footnote>
  <w:footnote w:id="52">
    <w:p w14:paraId="195C46AC" w14:textId="7273B43D" w:rsidR="000C5913" w:rsidRPr="00F52076" w:rsidRDefault="000C5913" w:rsidP="000C5913">
      <w:pPr>
        <w:pStyle w:val="FootnoteText"/>
        <w:rPr>
          <w:sz w:val="24"/>
          <w:szCs w:val="24"/>
        </w:rPr>
      </w:pPr>
      <w:r w:rsidRPr="00F52076">
        <w:rPr>
          <w:rStyle w:val="FootnoteReference"/>
          <w:sz w:val="24"/>
          <w:szCs w:val="24"/>
        </w:rPr>
        <w:footnoteRef/>
      </w:r>
      <w:r w:rsidR="7F15EABB" w:rsidRPr="00F52076">
        <w:rPr>
          <w:sz w:val="24"/>
          <w:szCs w:val="24"/>
        </w:rPr>
        <w:t xml:space="preserve"> </w:t>
      </w:r>
      <w:r w:rsidR="7F15EABB" w:rsidRPr="7F15EABB">
        <w:rPr>
          <w:i/>
          <w:iCs/>
          <w:sz w:val="24"/>
          <w:szCs w:val="24"/>
        </w:rPr>
        <w:t>Najafi, supra</w:t>
      </w:r>
      <w:r w:rsidR="004C608C">
        <w:rPr>
          <w:i/>
          <w:iCs/>
          <w:sz w:val="24"/>
          <w:szCs w:val="24"/>
        </w:rPr>
        <w:t xml:space="preserve"> </w:t>
      </w:r>
      <w:r w:rsidR="7F15EABB" w:rsidRPr="00F52076">
        <w:rPr>
          <w:sz w:val="24"/>
          <w:szCs w:val="24"/>
        </w:rPr>
        <w:t>note</w:t>
      </w:r>
      <w:r w:rsidR="00A16B57">
        <w:rPr>
          <w:sz w:val="24"/>
          <w:szCs w:val="24"/>
        </w:rPr>
        <w:t> </w:t>
      </w:r>
      <w:r w:rsidR="7F15EABB" w:rsidRPr="00F52076">
        <w:rPr>
          <w:sz w:val="24"/>
          <w:szCs w:val="24"/>
        </w:rPr>
        <w:t>21 au para</w:t>
      </w:r>
      <w:r w:rsidR="00A16B57">
        <w:rPr>
          <w:sz w:val="24"/>
          <w:szCs w:val="24"/>
        </w:rPr>
        <w:t> </w:t>
      </w:r>
      <w:r w:rsidR="7F15EABB" w:rsidRPr="00F52076">
        <w:rPr>
          <w:sz w:val="24"/>
          <w:szCs w:val="24"/>
        </w:rPr>
        <w:t xml:space="preserve">65. </w:t>
      </w:r>
    </w:p>
  </w:footnote>
  <w:footnote w:id="53">
    <w:p w14:paraId="040FFBE5" w14:textId="5BD68C42" w:rsidR="000C5913" w:rsidRPr="00F52076" w:rsidRDefault="000C5913" w:rsidP="000C5913">
      <w:pPr>
        <w:pStyle w:val="FootnoteText"/>
        <w:rPr>
          <w:sz w:val="24"/>
          <w:szCs w:val="24"/>
        </w:rPr>
      </w:pPr>
      <w:r w:rsidRPr="00F52076">
        <w:rPr>
          <w:rStyle w:val="FootnoteReference"/>
          <w:sz w:val="24"/>
          <w:szCs w:val="24"/>
        </w:rPr>
        <w:footnoteRef/>
      </w:r>
      <w:r w:rsidR="79927EA4" w:rsidRPr="00F52076">
        <w:rPr>
          <w:sz w:val="24"/>
          <w:szCs w:val="24"/>
        </w:rPr>
        <w:t xml:space="preserve"> </w:t>
      </w:r>
      <w:r w:rsidR="79927EA4" w:rsidRPr="79927EA4">
        <w:rPr>
          <w:i/>
          <w:iCs/>
          <w:sz w:val="24"/>
          <w:szCs w:val="24"/>
        </w:rPr>
        <w:t xml:space="preserve">Ibid </w:t>
      </w:r>
      <w:r w:rsidR="79927EA4" w:rsidRPr="00F52076">
        <w:rPr>
          <w:sz w:val="24"/>
          <w:szCs w:val="24"/>
        </w:rPr>
        <w:t>aux para</w:t>
      </w:r>
      <w:r w:rsidR="00A16B57">
        <w:rPr>
          <w:sz w:val="24"/>
          <w:szCs w:val="24"/>
        </w:rPr>
        <w:t> </w:t>
      </w:r>
      <w:r w:rsidR="79927EA4" w:rsidRPr="00F52076">
        <w:rPr>
          <w:sz w:val="24"/>
          <w:szCs w:val="24"/>
        </w:rPr>
        <w:t>78 et 79.</w:t>
      </w:r>
    </w:p>
  </w:footnote>
  <w:footnote w:id="54">
    <w:p w14:paraId="70D30700" w14:textId="50CFA2CE" w:rsidR="00666DD9" w:rsidRDefault="00666DD9" w:rsidP="00666DD9">
      <w:pPr>
        <w:pStyle w:val="FootnoteText"/>
      </w:pPr>
      <w:r w:rsidRPr="00F52076">
        <w:rPr>
          <w:rStyle w:val="FootnoteReference"/>
          <w:sz w:val="24"/>
          <w:szCs w:val="24"/>
        </w:rPr>
        <w:footnoteRef/>
      </w:r>
      <w:r w:rsidR="79927EA4" w:rsidRPr="00F52076">
        <w:rPr>
          <w:sz w:val="24"/>
          <w:szCs w:val="24"/>
        </w:rPr>
        <w:t xml:space="preserve"> </w:t>
      </w:r>
      <w:r w:rsidR="79927EA4" w:rsidRPr="79927EA4">
        <w:rPr>
          <w:i/>
          <w:iCs/>
          <w:sz w:val="24"/>
          <w:szCs w:val="24"/>
        </w:rPr>
        <w:t>Ibid</w:t>
      </w:r>
      <w:r w:rsidR="79927EA4" w:rsidRPr="00F52076">
        <w:rPr>
          <w:sz w:val="24"/>
          <w:szCs w:val="24"/>
        </w:rPr>
        <w:t xml:space="preserve"> au para</w:t>
      </w:r>
      <w:r w:rsidR="00A16B57">
        <w:rPr>
          <w:sz w:val="24"/>
          <w:szCs w:val="24"/>
        </w:rPr>
        <w:t> </w:t>
      </w:r>
      <w:r w:rsidR="79927EA4" w:rsidRPr="00F52076">
        <w:rPr>
          <w:sz w:val="24"/>
          <w:szCs w:val="24"/>
        </w:rPr>
        <w:t>45.</w:t>
      </w:r>
    </w:p>
  </w:footnote>
  <w:footnote w:id="55">
    <w:p w14:paraId="62140E2A" w14:textId="177F6FA8" w:rsidR="008938C9" w:rsidRPr="00F52076" w:rsidRDefault="008938C9" w:rsidP="008938C9">
      <w:pPr>
        <w:pStyle w:val="FootnoteText"/>
        <w:rPr>
          <w:sz w:val="24"/>
          <w:szCs w:val="24"/>
        </w:rPr>
      </w:pPr>
      <w:r w:rsidRPr="00F52076">
        <w:rPr>
          <w:rStyle w:val="FootnoteReference"/>
          <w:sz w:val="24"/>
          <w:szCs w:val="24"/>
        </w:rPr>
        <w:footnoteRef/>
      </w:r>
      <w:r w:rsidRPr="00F52076">
        <w:rPr>
          <w:sz w:val="24"/>
          <w:szCs w:val="24"/>
        </w:rPr>
        <w:t xml:space="preserve"> </w:t>
      </w:r>
      <w:r w:rsidRPr="00F52076">
        <w:rPr>
          <w:i/>
          <w:iCs/>
          <w:sz w:val="24"/>
          <w:szCs w:val="24"/>
        </w:rPr>
        <w:t>Maqsudi c Canada (Ministre de la Citoyenneté et de l</w:t>
      </w:r>
      <w:r w:rsidR="00A16B57">
        <w:rPr>
          <w:i/>
          <w:iCs/>
          <w:sz w:val="24"/>
          <w:szCs w:val="24"/>
        </w:rPr>
        <w:t>’</w:t>
      </w:r>
      <w:r w:rsidRPr="00F52076">
        <w:rPr>
          <w:i/>
          <w:iCs/>
          <w:sz w:val="24"/>
          <w:szCs w:val="24"/>
        </w:rPr>
        <w:t>Immigration)</w:t>
      </w:r>
      <w:r w:rsidRPr="00F52076">
        <w:rPr>
          <w:sz w:val="24"/>
          <w:szCs w:val="24"/>
        </w:rPr>
        <w:t>, 2015 CF 1184 au para</w:t>
      </w:r>
      <w:r w:rsidR="00A16B57">
        <w:rPr>
          <w:sz w:val="24"/>
          <w:szCs w:val="24"/>
        </w:rPr>
        <w:t> </w:t>
      </w:r>
      <w:r w:rsidRPr="00F52076">
        <w:rPr>
          <w:sz w:val="24"/>
          <w:szCs w:val="24"/>
        </w:rPr>
        <w:t>39.</w:t>
      </w:r>
    </w:p>
  </w:footnote>
  <w:footnote w:id="56">
    <w:p w14:paraId="562C9D24" w14:textId="48A5A914" w:rsidR="00945362" w:rsidRPr="00945362" w:rsidRDefault="00945362" w:rsidP="79927EA4">
      <w:pPr>
        <w:pStyle w:val="FootnoteText"/>
        <w:rPr>
          <w:i/>
          <w:iCs/>
        </w:rPr>
      </w:pPr>
      <w:r w:rsidRPr="7403D796">
        <w:rPr>
          <w:rStyle w:val="FootnoteReference"/>
          <w:rFonts w:eastAsia="Times New Roman"/>
          <w:sz w:val="24"/>
          <w:szCs w:val="24"/>
        </w:rPr>
        <w:footnoteRef/>
      </w:r>
      <w:r w:rsidR="79927EA4" w:rsidRPr="7403D796">
        <w:rPr>
          <w:rFonts w:eastAsia="Times New Roman"/>
          <w:sz w:val="24"/>
          <w:szCs w:val="24"/>
        </w:rPr>
        <w:t xml:space="preserve"> </w:t>
      </w:r>
      <w:r w:rsidR="79927EA4" w:rsidRPr="79927EA4">
        <w:rPr>
          <w:i/>
          <w:iCs/>
          <w:sz w:val="24"/>
          <w:szCs w:val="24"/>
        </w:rPr>
        <w:t xml:space="preserve">Najafi, supra </w:t>
      </w:r>
      <w:r w:rsidR="79927EA4" w:rsidRPr="00143641">
        <w:rPr>
          <w:sz w:val="24"/>
          <w:szCs w:val="24"/>
        </w:rPr>
        <w:t>note</w:t>
      </w:r>
      <w:r w:rsidR="00A16B57">
        <w:rPr>
          <w:sz w:val="24"/>
          <w:szCs w:val="24"/>
        </w:rPr>
        <w:t> </w:t>
      </w:r>
      <w:r w:rsidR="79927EA4" w:rsidRPr="00143641">
        <w:rPr>
          <w:sz w:val="24"/>
          <w:szCs w:val="24"/>
        </w:rPr>
        <w:t>21 au</w:t>
      </w:r>
      <w:r w:rsidR="79927EA4">
        <w:rPr>
          <w:sz w:val="24"/>
          <w:szCs w:val="24"/>
        </w:rPr>
        <w:t>x</w:t>
      </w:r>
      <w:r w:rsidR="79927EA4" w:rsidRPr="00143641">
        <w:rPr>
          <w:sz w:val="24"/>
          <w:szCs w:val="24"/>
        </w:rPr>
        <w:t xml:space="preserve"> para</w:t>
      </w:r>
      <w:r w:rsidR="00A16B57">
        <w:rPr>
          <w:sz w:val="24"/>
          <w:szCs w:val="24"/>
        </w:rPr>
        <w:t> </w:t>
      </w:r>
      <w:r w:rsidR="79927EA4">
        <w:rPr>
          <w:sz w:val="24"/>
          <w:szCs w:val="24"/>
        </w:rPr>
        <w:t>79 et s.</w:t>
      </w:r>
    </w:p>
  </w:footnote>
  <w:footnote w:id="57">
    <w:p w14:paraId="5AB440A0" w14:textId="396F1D04" w:rsidR="001119EE" w:rsidRPr="00670E31" w:rsidRDefault="001119EE" w:rsidP="001119EE">
      <w:pPr>
        <w:pStyle w:val="FootnoteText"/>
      </w:pPr>
      <w:r w:rsidRPr="7403D796">
        <w:rPr>
          <w:rStyle w:val="FootnoteReference"/>
          <w:rFonts w:eastAsia="Times New Roman"/>
          <w:sz w:val="24"/>
          <w:szCs w:val="24"/>
        </w:rPr>
        <w:footnoteRef/>
      </w:r>
      <w:r w:rsidR="42082F6A" w:rsidRPr="7403D796">
        <w:rPr>
          <w:rFonts w:eastAsia="Times New Roman"/>
          <w:sz w:val="24"/>
          <w:szCs w:val="24"/>
        </w:rPr>
        <w:t xml:space="preserve"> </w:t>
      </w:r>
      <w:r w:rsidR="42082F6A" w:rsidRPr="42082F6A">
        <w:rPr>
          <w:i/>
          <w:iCs/>
          <w:sz w:val="24"/>
          <w:szCs w:val="24"/>
        </w:rPr>
        <w:t xml:space="preserve">Bell Express Vu, supra </w:t>
      </w:r>
      <w:r w:rsidR="42082F6A" w:rsidRPr="00A366C0">
        <w:rPr>
          <w:sz w:val="24"/>
          <w:szCs w:val="24"/>
        </w:rPr>
        <w:t>note</w:t>
      </w:r>
      <w:r w:rsidR="00A16B57">
        <w:rPr>
          <w:sz w:val="24"/>
          <w:szCs w:val="24"/>
        </w:rPr>
        <w:t> </w:t>
      </w:r>
      <w:r w:rsidR="42082F6A" w:rsidRPr="00A366C0">
        <w:rPr>
          <w:sz w:val="24"/>
          <w:szCs w:val="24"/>
        </w:rPr>
        <w:t>27 aux para</w:t>
      </w:r>
      <w:r w:rsidR="00A16B57">
        <w:rPr>
          <w:sz w:val="24"/>
          <w:szCs w:val="24"/>
        </w:rPr>
        <w:t> </w:t>
      </w:r>
      <w:r w:rsidR="42082F6A" w:rsidRPr="00A366C0">
        <w:rPr>
          <w:sz w:val="24"/>
          <w:szCs w:val="24"/>
        </w:rPr>
        <w:t>61 et 62</w:t>
      </w:r>
      <w:r w:rsidR="00A16B57">
        <w:rPr>
          <w:sz w:val="24"/>
          <w:szCs w:val="24"/>
        </w:rPr>
        <w:t> </w:t>
      </w:r>
      <w:r w:rsidR="42082F6A" w:rsidRPr="00A366C0">
        <w:rPr>
          <w:sz w:val="24"/>
          <w:szCs w:val="24"/>
        </w:rPr>
        <w:t xml:space="preserve">; </w:t>
      </w:r>
      <w:r w:rsidR="42082F6A" w:rsidRPr="42082F6A">
        <w:rPr>
          <w:i/>
          <w:iCs/>
          <w:sz w:val="24"/>
          <w:szCs w:val="24"/>
        </w:rPr>
        <w:t xml:space="preserve">Febles </w:t>
      </w:r>
      <w:r w:rsidR="42082F6A" w:rsidRPr="00A366C0">
        <w:rPr>
          <w:sz w:val="24"/>
          <w:szCs w:val="24"/>
        </w:rPr>
        <w:t xml:space="preserve">c. </w:t>
      </w:r>
      <w:r w:rsidR="42082F6A" w:rsidRPr="42082F6A">
        <w:rPr>
          <w:i/>
          <w:iCs/>
          <w:sz w:val="24"/>
          <w:szCs w:val="24"/>
        </w:rPr>
        <w:t xml:space="preserve">Canada (Citoyenneté et Immigration), </w:t>
      </w:r>
      <w:r w:rsidR="42082F6A" w:rsidRPr="00A366C0">
        <w:rPr>
          <w:sz w:val="24"/>
          <w:szCs w:val="24"/>
        </w:rPr>
        <w:t>2014 CSC</w:t>
      </w:r>
      <w:r w:rsidR="00A16B57">
        <w:rPr>
          <w:sz w:val="24"/>
          <w:szCs w:val="24"/>
        </w:rPr>
        <w:t> </w:t>
      </w:r>
      <w:r w:rsidR="42082F6A" w:rsidRPr="00A366C0">
        <w:rPr>
          <w:sz w:val="24"/>
          <w:szCs w:val="24"/>
        </w:rPr>
        <w:t>68, au para</w:t>
      </w:r>
      <w:r w:rsidR="00A16B57">
        <w:rPr>
          <w:sz w:val="24"/>
          <w:szCs w:val="24"/>
        </w:rPr>
        <w:t> </w:t>
      </w:r>
      <w:r w:rsidR="42082F6A" w:rsidRPr="00A366C0">
        <w:rPr>
          <w:sz w:val="24"/>
          <w:szCs w:val="24"/>
        </w:rPr>
        <w:t>67.</w:t>
      </w:r>
    </w:p>
  </w:footnote>
  <w:footnote w:id="58">
    <w:p w14:paraId="50202D24" w14:textId="3E2C012F" w:rsidR="001119EE" w:rsidRPr="00AE2A29" w:rsidRDefault="001119EE" w:rsidP="001119EE">
      <w:pPr>
        <w:pStyle w:val="FootnoteText"/>
      </w:pPr>
      <w:r w:rsidRPr="7403D796">
        <w:rPr>
          <w:rStyle w:val="FootnoteReference"/>
          <w:rFonts w:eastAsia="Times New Roman"/>
          <w:sz w:val="24"/>
          <w:szCs w:val="24"/>
        </w:rPr>
        <w:footnoteRef/>
      </w:r>
      <w:r w:rsidR="42082F6A" w:rsidRPr="7403D796">
        <w:rPr>
          <w:rFonts w:eastAsia="Times New Roman"/>
          <w:sz w:val="24"/>
          <w:szCs w:val="24"/>
        </w:rPr>
        <w:t xml:space="preserve"> </w:t>
      </w:r>
      <w:r w:rsidR="42082F6A" w:rsidRPr="42082F6A">
        <w:rPr>
          <w:i/>
          <w:iCs/>
          <w:sz w:val="24"/>
          <w:szCs w:val="24"/>
        </w:rPr>
        <w:t xml:space="preserve">Chowdhury </w:t>
      </w:r>
      <w:r w:rsidR="42082F6A">
        <w:rPr>
          <w:sz w:val="24"/>
          <w:szCs w:val="24"/>
        </w:rPr>
        <w:t>CF</w:t>
      </w:r>
      <w:r w:rsidR="42082F6A" w:rsidRPr="42082F6A">
        <w:rPr>
          <w:i/>
          <w:iCs/>
          <w:sz w:val="24"/>
          <w:szCs w:val="24"/>
        </w:rPr>
        <w:t>, supra</w:t>
      </w:r>
      <w:r w:rsidR="004C608C">
        <w:rPr>
          <w:i/>
          <w:iCs/>
          <w:sz w:val="24"/>
          <w:szCs w:val="24"/>
        </w:rPr>
        <w:t xml:space="preserve"> </w:t>
      </w:r>
      <w:r w:rsidR="004C608C">
        <w:rPr>
          <w:sz w:val="24"/>
          <w:szCs w:val="24"/>
        </w:rPr>
        <w:t>n</w:t>
      </w:r>
      <w:r w:rsidR="42082F6A" w:rsidRPr="00AE2A29">
        <w:rPr>
          <w:sz w:val="24"/>
          <w:szCs w:val="24"/>
        </w:rPr>
        <w:t>ote</w:t>
      </w:r>
      <w:r w:rsidR="00A16B57">
        <w:rPr>
          <w:sz w:val="24"/>
          <w:szCs w:val="24"/>
        </w:rPr>
        <w:t> </w:t>
      </w:r>
      <w:r w:rsidR="42082F6A" w:rsidRPr="00AE2A29">
        <w:rPr>
          <w:sz w:val="24"/>
          <w:szCs w:val="24"/>
        </w:rPr>
        <w:t>13 au para</w:t>
      </w:r>
      <w:r w:rsidR="00A16B57">
        <w:rPr>
          <w:sz w:val="24"/>
          <w:szCs w:val="24"/>
        </w:rPr>
        <w:t> </w:t>
      </w:r>
      <w:r w:rsidR="42082F6A" w:rsidRPr="00AE2A29">
        <w:rPr>
          <w:sz w:val="24"/>
          <w:szCs w:val="24"/>
        </w:rPr>
        <w:t>32</w:t>
      </w:r>
      <w:r w:rsidR="42082F6A" w:rsidRPr="7403D796">
        <w:rPr>
          <w:rFonts w:eastAsia="Times New Roman"/>
          <w:sz w:val="24"/>
          <w:szCs w:val="24"/>
        </w:rPr>
        <w:t>.</w:t>
      </w:r>
    </w:p>
  </w:footnote>
  <w:footnote w:id="59">
    <w:p w14:paraId="7159FECA" w14:textId="375282C9" w:rsidR="00E14496" w:rsidRPr="000B5418" w:rsidRDefault="00E14496">
      <w:pPr>
        <w:pStyle w:val="FootnoteText"/>
      </w:pPr>
      <w:r w:rsidRPr="7403D796">
        <w:rPr>
          <w:rStyle w:val="FootnoteReference"/>
          <w:rFonts w:eastAsia="Times New Roman"/>
          <w:sz w:val="24"/>
          <w:szCs w:val="24"/>
        </w:rPr>
        <w:footnoteRef/>
      </w:r>
      <w:r w:rsidRPr="7403D796">
        <w:rPr>
          <w:rFonts w:eastAsia="Times New Roman"/>
          <w:sz w:val="24"/>
          <w:szCs w:val="24"/>
        </w:rPr>
        <w:t xml:space="preserve"> </w:t>
      </w:r>
      <w:r w:rsidR="00BC4945" w:rsidRPr="00BC4945">
        <w:rPr>
          <w:i/>
          <w:iCs/>
          <w:sz w:val="24"/>
          <w:szCs w:val="24"/>
        </w:rPr>
        <w:t xml:space="preserve">Suresh </w:t>
      </w:r>
      <w:r w:rsidR="00F73768">
        <w:rPr>
          <w:sz w:val="24"/>
          <w:szCs w:val="24"/>
        </w:rPr>
        <w:t>c</w:t>
      </w:r>
      <w:r w:rsidR="00BC4945" w:rsidRPr="00BC4945">
        <w:rPr>
          <w:sz w:val="24"/>
          <w:szCs w:val="24"/>
        </w:rPr>
        <w:t xml:space="preserve">. </w:t>
      </w:r>
      <w:r w:rsidR="00BC4945" w:rsidRPr="00BC4945">
        <w:rPr>
          <w:i/>
          <w:iCs/>
          <w:sz w:val="24"/>
          <w:szCs w:val="24"/>
        </w:rPr>
        <w:t xml:space="preserve">Canada (Ministre de la Citoyenneté et de l’Immigration, </w:t>
      </w:r>
      <w:r w:rsidR="00BC4945" w:rsidRPr="00BC4945">
        <w:rPr>
          <w:sz w:val="24"/>
          <w:szCs w:val="24"/>
        </w:rPr>
        <w:t>[2002] 1 R.C.S., au para</w:t>
      </w:r>
      <w:r w:rsidR="00A16B57">
        <w:rPr>
          <w:sz w:val="24"/>
          <w:szCs w:val="24"/>
        </w:rPr>
        <w:t> </w:t>
      </w:r>
      <w:r w:rsidR="00BC4945" w:rsidRPr="00BC4945">
        <w:rPr>
          <w:sz w:val="24"/>
          <w:szCs w:val="24"/>
        </w:rPr>
        <w:t>107</w:t>
      </w:r>
      <w:r w:rsidR="00A16B57">
        <w:rPr>
          <w:sz w:val="24"/>
          <w:szCs w:val="24"/>
        </w:rPr>
        <w:t xml:space="preserve"> ; </w:t>
      </w:r>
      <w:r w:rsidRPr="00BC4945">
        <w:rPr>
          <w:i/>
          <w:iCs/>
          <w:sz w:val="24"/>
          <w:szCs w:val="24"/>
        </w:rPr>
        <w:t>R</w:t>
      </w:r>
      <w:r w:rsidR="002F4205">
        <w:rPr>
          <w:i/>
          <w:iCs/>
          <w:sz w:val="24"/>
          <w:szCs w:val="24"/>
        </w:rPr>
        <w:t xml:space="preserve"> c</w:t>
      </w:r>
      <w:r w:rsidRPr="00BC4945">
        <w:rPr>
          <w:sz w:val="24"/>
          <w:szCs w:val="24"/>
        </w:rPr>
        <w:t xml:space="preserve"> </w:t>
      </w:r>
      <w:r w:rsidRPr="00BC4945">
        <w:rPr>
          <w:i/>
          <w:iCs/>
          <w:sz w:val="24"/>
          <w:szCs w:val="24"/>
        </w:rPr>
        <w:t xml:space="preserve">Keegstra, </w:t>
      </w:r>
      <w:r w:rsidR="000B5418" w:rsidRPr="00BC4945">
        <w:rPr>
          <w:sz w:val="24"/>
          <w:szCs w:val="24"/>
        </w:rPr>
        <w:t>[1990] 3 R.C.S.</w:t>
      </w:r>
      <w:r w:rsidR="00A16B57">
        <w:rPr>
          <w:sz w:val="24"/>
          <w:szCs w:val="24"/>
        </w:rPr>
        <w:t> </w:t>
      </w:r>
      <w:r w:rsidR="000B5418" w:rsidRPr="00BC4945">
        <w:rPr>
          <w:sz w:val="24"/>
          <w:szCs w:val="24"/>
        </w:rPr>
        <w:t>697, aux pages</w:t>
      </w:r>
      <w:r w:rsidR="00A16B57">
        <w:rPr>
          <w:sz w:val="24"/>
          <w:szCs w:val="24"/>
        </w:rPr>
        <w:t> </w:t>
      </w:r>
      <w:r w:rsidR="000B5418" w:rsidRPr="00BC4945">
        <w:rPr>
          <w:sz w:val="24"/>
          <w:szCs w:val="24"/>
        </w:rPr>
        <w:t>732-733</w:t>
      </w:r>
    </w:p>
  </w:footnote>
  <w:footnote w:id="60">
    <w:p w14:paraId="6D95AF9C" w14:textId="6E442571" w:rsidR="0059327D" w:rsidRPr="0023156F" w:rsidRDefault="0059327D" w:rsidP="0059327D">
      <w:pPr>
        <w:pStyle w:val="FootnoteText"/>
      </w:pPr>
      <w:r w:rsidRPr="7403D796">
        <w:rPr>
          <w:rStyle w:val="FootnoteReference"/>
          <w:rFonts w:eastAsia="Times New Roman"/>
          <w:sz w:val="24"/>
          <w:szCs w:val="24"/>
        </w:rPr>
        <w:footnoteRef/>
      </w:r>
      <w:r w:rsidR="58FF2482" w:rsidRPr="7403D796">
        <w:rPr>
          <w:rFonts w:eastAsia="Times New Roman"/>
          <w:sz w:val="24"/>
          <w:szCs w:val="24"/>
        </w:rPr>
        <w:t xml:space="preserve"> </w:t>
      </w:r>
      <w:r w:rsidR="58FF2482" w:rsidRPr="58FF2482">
        <w:rPr>
          <w:i/>
          <w:iCs/>
          <w:sz w:val="24"/>
          <w:szCs w:val="24"/>
        </w:rPr>
        <w:t xml:space="preserve">A.K., supra </w:t>
      </w:r>
      <w:r w:rsidR="58FF2482" w:rsidRPr="0023156F">
        <w:rPr>
          <w:sz w:val="24"/>
          <w:szCs w:val="24"/>
        </w:rPr>
        <w:t>note 37 au para</w:t>
      </w:r>
      <w:r w:rsidR="00A16B57">
        <w:rPr>
          <w:sz w:val="24"/>
          <w:szCs w:val="24"/>
        </w:rPr>
        <w:t> </w:t>
      </w:r>
      <w:r w:rsidR="58FF2482" w:rsidRPr="0023156F">
        <w:rPr>
          <w:sz w:val="24"/>
          <w:szCs w:val="24"/>
        </w:rPr>
        <w:t>41.</w:t>
      </w:r>
    </w:p>
  </w:footnote>
  <w:footnote w:id="61">
    <w:p w14:paraId="0291C35C" w14:textId="2DE0BB33" w:rsidR="006348B0" w:rsidRPr="006348B0" w:rsidRDefault="006348B0">
      <w:pPr>
        <w:pStyle w:val="FootnoteText"/>
      </w:pPr>
      <w:r w:rsidRPr="7403D796">
        <w:rPr>
          <w:rStyle w:val="FootnoteReference"/>
          <w:rFonts w:eastAsia="Times New Roman"/>
          <w:sz w:val="24"/>
          <w:szCs w:val="24"/>
        </w:rPr>
        <w:footnoteRef/>
      </w:r>
      <w:r w:rsidRPr="7403D796">
        <w:rPr>
          <w:rFonts w:eastAsia="Times New Roman"/>
          <w:sz w:val="24"/>
          <w:szCs w:val="24"/>
        </w:rPr>
        <w:t xml:space="preserve"> </w:t>
      </w:r>
      <w:r w:rsidRPr="006348B0">
        <w:rPr>
          <w:i/>
          <w:iCs/>
          <w:sz w:val="24"/>
          <w:szCs w:val="24"/>
        </w:rPr>
        <w:t>Chowdhury</w:t>
      </w:r>
      <w:r w:rsidR="00EF75CA">
        <w:rPr>
          <w:i/>
          <w:iCs/>
          <w:sz w:val="24"/>
          <w:szCs w:val="24"/>
        </w:rPr>
        <w:t xml:space="preserve"> </w:t>
      </w:r>
      <w:r w:rsidR="00EF75CA">
        <w:rPr>
          <w:sz w:val="24"/>
          <w:szCs w:val="24"/>
        </w:rPr>
        <w:t>CF</w:t>
      </w:r>
      <w:r w:rsidRPr="006348B0">
        <w:rPr>
          <w:i/>
          <w:iCs/>
          <w:sz w:val="24"/>
          <w:szCs w:val="24"/>
        </w:rPr>
        <w:t xml:space="preserve">, supra </w:t>
      </w:r>
      <w:r w:rsidRPr="006348B0">
        <w:rPr>
          <w:sz w:val="24"/>
          <w:szCs w:val="24"/>
        </w:rPr>
        <w:t xml:space="preserve">note </w:t>
      </w:r>
      <w:r w:rsidR="004C608C">
        <w:rPr>
          <w:sz w:val="24"/>
          <w:szCs w:val="24"/>
        </w:rPr>
        <w:t>13</w:t>
      </w:r>
      <w:r w:rsidRPr="006348B0">
        <w:rPr>
          <w:sz w:val="24"/>
          <w:szCs w:val="24"/>
        </w:rPr>
        <w:t xml:space="preserve"> au para</w:t>
      </w:r>
      <w:r w:rsidR="00F97178">
        <w:rPr>
          <w:sz w:val="24"/>
          <w:szCs w:val="24"/>
        </w:rPr>
        <w:t> </w:t>
      </w:r>
      <w:r w:rsidRPr="006348B0">
        <w:rPr>
          <w:sz w:val="24"/>
          <w:szCs w:val="24"/>
        </w:rPr>
        <w:t>31.</w:t>
      </w:r>
    </w:p>
  </w:footnote>
  <w:footnote w:id="62">
    <w:p w14:paraId="697E3CED" w14:textId="2D020D6F" w:rsidR="00304EF0" w:rsidRPr="00304EF0" w:rsidRDefault="00304EF0">
      <w:pPr>
        <w:pStyle w:val="FootnoteText"/>
      </w:pPr>
      <w:r w:rsidRPr="7403D796">
        <w:rPr>
          <w:rStyle w:val="FootnoteReference"/>
          <w:rFonts w:eastAsia="Times New Roman"/>
          <w:sz w:val="24"/>
          <w:szCs w:val="24"/>
        </w:rPr>
        <w:footnoteRef/>
      </w:r>
      <w:r w:rsidRPr="7403D796">
        <w:rPr>
          <w:rFonts w:eastAsia="Times New Roman"/>
          <w:sz w:val="24"/>
          <w:szCs w:val="24"/>
        </w:rPr>
        <w:t xml:space="preserve"> </w:t>
      </w:r>
      <w:r w:rsidRPr="00BF6EF8">
        <w:rPr>
          <w:i/>
          <w:iCs/>
          <w:sz w:val="24"/>
          <w:szCs w:val="24"/>
        </w:rPr>
        <w:t>Najafi</w:t>
      </w:r>
      <w:r w:rsidR="005F3534" w:rsidRPr="00BF6EF8">
        <w:rPr>
          <w:i/>
          <w:iCs/>
          <w:sz w:val="24"/>
          <w:szCs w:val="24"/>
        </w:rPr>
        <w:t xml:space="preserve"> </w:t>
      </w:r>
      <w:r w:rsidR="005F3534" w:rsidRPr="00BF6EF8">
        <w:rPr>
          <w:sz w:val="24"/>
          <w:szCs w:val="24"/>
        </w:rPr>
        <w:t xml:space="preserve">c. </w:t>
      </w:r>
      <w:r w:rsidR="005F3534" w:rsidRPr="00BF6EF8">
        <w:rPr>
          <w:i/>
          <w:iCs/>
          <w:sz w:val="24"/>
          <w:szCs w:val="24"/>
        </w:rPr>
        <w:t>Canada (Sécurité publique et Protection civile)</w:t>
      </w:r>
      <w:r w:rsidR="005F3534" w:rsidRPr="00BF6EF8">
        <w:rPr>
          <w:sz w:val="24"/>
          <w:szCs w:val="24"/>
        </w:rPr>
        <w:t xml:space="preserve">, </w:t>
      </w:r>
      <w:r w:rsidR="00044F59" w:rsidRPr="00BF6EF8">
        <w:rPr>
          <w:sz w:val="24"/>
          <w:szCs w:val="24"/>
        </w:rPr>
        <w:t>2013 CF 876</w:t>
      </w:r>
      <w:r w:rsidR="00BF6EF8">
        <w:rPr>
          <w:sz w:val="24"/>
          <w:szCs w:val="24"/>
        </w:rPr>
        <w:t xml:space="preserve"> </w:t>
      </w:r>
      <w:r w:rsidR="00524BBE">
        <w:rPr>
          <w:sz w:val="24"/>
          <w:szCs w:val="24"/>
        </w:rPr>
        <w:t>[</w:t>
      </w:r>
      <w:r w:rsidR="00524BBE" w:rsidRPr="00F73768">
        <w:rPr>
          <w:i/>
          <w:iCs/>
          <w:sz w:val="24"/>
          <w:szCs w:val="24"/>
        </w:rPr>
        <w:t xml:space="preserve">Najafi </w:t>
      </w:r>
      <w:r w:rsidR="00524BBE">
        <w:rPr>
          <w:sz w:val="24"/>
          <w:szCs w:val="24"/>
        </w:rPr>
        <w:t>CF]</w:t>
      </w:r>
      <w:r w:rsidR="00BF6EF8" w:rsidRPr="00BF6EF8">
        <w:rPr>
          <w:i/>
          <w:iCs/>
          <w:sz w:val="24"/>
          <w:szCs w:val="24"/>
        </w:rPr>
        <w:t xml:space="preserve"> </w:t>
      </w:r>
      <w:r w:rsidR="00044F59" w:rsidRPr="00BF6EF8">
        <w:rPr>
          <w:sz w:val="24"/>
          <w:szCs w:val="24"/>
        </w:rPr>
        <w:t>au para</w:t>
      </w:r>
      <w:r w:rsidR="00F97178">
        <w:rPr>
          <w:sz w:val="24"/>
          <w:szCs w:val="24"/>
        </w:rPr>
        <w:t> </w:t>
      </w:r>
      <w:r w:rsidR="00BF6EF8" w:rsidRPr="00BF6EF8">
        <w:rPr>
          <w:sz w:val="24"/>
          <w:szCs w:val="24"/>
        </w:rPr>
        <w:t>46.</w:t>
      </w:r>
    </w:p>
  </w:footnote>
  <w:footnote w:id="63">
    <w:p w14:paraId="3CCE20A6" w14:textId="506DE9F5" w:rsidR="00F90FB6" w:rsidRPr="00F90FB6" w:rsidRDefault="00F90FB6">
      <w:pPr>
        <w:pStyle w:val="FootnoteText"/>
        <w:rPr>
          <w:i/>
          <w:iCs/>
        </w:rPr>
      </w:pPr>
      <w:r w:rsidRPr="7403D796">
        <w:rPr>
          <w:rStyle w:val="FootnoteReference"/>
          <w:rFonts w:eastAsia="Times New Roman"/>
          <w:sz w:val="24"/>
          <w:szCs w:val="24"/>
        </w:rPr>
        <w:footnoteRef/>
      </w:r>
      <w:r w:rsidRPr="7403D796">
        <w:rPr>
          <w:rFonts w:eastAsia="Times New Roman"/>
          <w:sz w:val="24"/>
          <w:szCs w:val="24"/>
        </w:rPr>
        <w:t xml:space="preserve"> </w:t>
      </w:r>
      <w:r w:rsidR="0017388C" w:rsidRPr="0017388C">
        <w:rPr>
          <w:i/>
          <w:iCs/>
          <w:sz w:val="24"/>
          <w:szCs w:val="24"/>
        </w:rPr>
        <w:t xml:space="preserve">Maleki </w:t>
      </w:r>
      <w:r w:rsidR="0017388C" w:rsidRPr="0017388C">
        <w:rPr>
          <w:sz w:val="24"/>
          <w:szCs w:val="24"/>
        </w:rPr>
        <w:t>c</w:t>
      </w:r>
      <w:r w:rsidR="0017388C" w:rsidRPr="0017388C">
        <w:rPr>
          <w:i/>
          <w:iCs/>
          <w:sz w:val="24"/>
          <w:szCs w:val="24"/>
        </w:rPr>
        <w:t xml:space="preserve">. Canada (Ministre de la Citoyenneté et de l’Immigration), </w:t>
      </w:r>
      <w:r w:rsidR="0017388C" w:rsidRPr="0017388C">
        <w:rPr>
          <w:sz w:val="24"/>
          <w:szCs w:val="24"/>
        </w:rPr>
        <w:t>2012 CF 131</w:t>
      </w:r>
      <w:r w:rsidR="00A52E63">
        <w:rPr>
          <w:sz w:val="24"/>
          <w:szCs w:val="24"/>
        </w:rPr>
        <w:t>.</w:t>
      </w:r>
    </w:p>
  </w:footnote>
  <w:footnote w:id="64">
    <w:p w14:paraId="2640B8F1" w14:textId="628BBC3F" w:rsidR="007301A2" w:rsidRDefault="007301A2">
      <w:pPr>
        <w:pStyle w:val="FootnoteText"/>
      </w:pPr>
      <w:r w:rsidRPr="7403D796">
        <w:rPr>
          <w:rStyle w:val="FootnoteReference"/>
          <w:rFonts w:eastAsia="Times New Roman"/>
          <w:sz w:val="24"/>
          <w:szCs w:val="24"/>
        </w:rPr>
        <w:footnoteRef/>
      </w:r>
      <w:r w:rsidRPr="7403D796">
        <w:rPr>
          <w:rFonts w:eastAsia="Times New Roman"/>
          <w:sz w:val="24"/>
          <w:szCs w:val="24"/>
        </w:rPr>
        <w:t xml:space="preserve"> </w:t>
      </w:r>
      <w:r w:rsidRPr="007301A2">
        <w:rPr>
          <w:sz w:val="24"/>
          <w:szCs w:val="24"/>
        </w:rPr>
        <w:t>Voir section</w:t>
      </w:r>
      <w:r w:rsidR="00F97178">
        <w:rPr>
          <w:sz w:val="24"/>
          <w:szCs w:val="24"/>
        </w:rPr>
        <w:t> </w:t>
      </w:r>
      <w:r w:rsidRPr="007301A2">
        <w:rPr>
          <w:sz w:val="24"/>
          <w:szCs w:val="24"/>
        </w:rPr>
        <w:t>2.1.2.</w:t>
      </w:r>
    </w:p>
  </w:footnote>
  <w:footnote w:id="65">
    <w:p w14:paraId="6D1B6FEF" w14:textId="4E4EF5A2" w:rsidR="001A6327" w:rsidRPr="001A6327" w:rsidRDefault="001A6327">
      <w:pPr>
        <w:pStyle w:val="FootnoteText"/>
      </w:pPr>
      <w:r w:rsidRPr="7403D796">
        <w:rPr>
          <w:rStyle w:val="FootnoteReference"/>
          <w:rFonts w:eastAsia="Times New Roman"/>
          <w:sz w:val="24"/>
          <w:szCs w:val="24"/>
        </w:rPr>
        <w:footnoteRef/>
      </w:r>
      <w:r w:rsidR="2F4F01E5" w:rsidRPr="7403D796">
        <w:rPr>
          <w:rFonts w:eastAsia="Times New Roman"/>
          <w:sz w:val="24"/>
          <w:szCs w:val="24"/>
        </w:rPr>
        <w:t xml:space="preserve"> </w:t>
      </w:r>
      <w:r w:rsidR="2F4F01E5" w:rsidRPr="2F4F01E5">
        <w:rPr>
          <w:i/>
          <w:iCs/>
          <w:sz w:val="24"/>
          <w:szCs w:val="24"/>
        </w:rPr>
        <w:t xml:space="preserve">Eyakwe, supra </w:t>
      </w:r>
      <w:r w:rsidR="2F4F01E5" w:rsidRPr="001A6327">
        <w:rPr>
          <w:sz w:val="24"/>
          <w:szCs w:val="24"/>
        </w:rPr>
        <w:t>note</w:t>
      </w:r>
      <w:r w:rsidR="00F97178">
        <w:rPr>
          <w:sz w:val="24"/>
          <w:szCs w:val="24"/>
        </w:rPr>
        <w:t> </w:t>
      </w:r>
      <w:r w:rsidR="2F4F01E5" w:rsidRPr="001A6327">
        <w:rPr>
          <w:sz w:val="24"/>
          <w:szCs w:val="24"/>
        </w:rPr>
        <w:t>36 au para</w:t>
      </w:r>
      <w:r w:rsidR="00F97178">
        <w:rPr>
          <w:sz w:val="24"/>
          <w:szCs w:val="24"/>
        </w:rPr>
        <w:t> </w:t>
      </w:r>
      <w:r w:rsidR="2F4F01E5" w:rsidRPr="001A6327">
        <w:rPr>
          <w:sz w:val="24"/>
          <w:szCs w:val="24"/>
        </w:rPr>
        <w:t>33.</w:t>
      </w:r>
    </w:p>
  </w:footnote>
  <w:footnote w:id="66">
    <w:p w14:paraId="4349245B" w14:textId="46322570" w:rsidR="00424C09" w:rsidRDefault="00424C09" w:rsidP="00424C09">
      <w:pPr>
        <w:pStyle w:val="FootnoteText"/>
      </w:pPr>
      <w:r w:rsidRPr="7403D796">
        <w:rPr>
          <w:rStyle w:val="FootnoteReference"/>
          <w:rFonts w:eastAsia="Times New Roman"/>
          <w:sz w:val="24"/>
          <w:szCs w:val="24"/>
        </w:rPr>
        <w:footnoteRef/>
      </w:r>
      <w:r w:rsidR="519EB0BC" w:rsidRPr="7403D796">
        <w:rPr>
          <w:rFonts w:eastAsia="Times New Roman"/>
          <w:sz w:val="24"/>
          <w:szCs w:val="24"/>
        </w:rPr>
        <w:t xml:space="preserve"> </w:t>
      </w:r>
      <w:r w:rsidR="519EB0BC" w:rsidRPr="519EB0BC">
        <w:rPr>
          <w:i/>
          <w:iCs/>
          <w:color w:val="000000" w:themeColor="text1"/>
          <w:sz w:val="24"/>
          <w:szCs w:val="24"/>
        </w:rPr>
        <w:t xml:space="preserve">Baker, supra </w:t>
      </w:r>
      <w:r w:rsidR="519EB0BC" w:rsidRPr="004C083C">
        <w:rPr>
          <w:color w:val="000000" w:themeColor="text1"/>
          <w:sz w:val="24"/>
          <w:szCs w:val="24"/>
        </w:rPr>
        <w:t>note</w:t>
      </w:r>
      <w:r w:rsidR="009F63AB">
        <w:rPr>
          <w:color w:val="000000" w:themeColor="text1"/>
          <w:sz w:val="24"/>
          <w:szCs w:val="24"/>
        </w:rPr>
        <w:t> </w:t>
      </w:r>
      <w:r w:rsidR="519EB0BC" w:rsidRPr="004C083C">
        <w:rPr>
          <w:color w:val="000000" w:themeColor="text1"/>
          <w:sz w:val="24"/>
          <w:szCs w:val="24"/>
        </w:rPr>
        <w:t>28, au para</w:t>
      </w:r>
      <w:r w:rsidR="009F63AB">
        <w:rPr>
          <w:color w:val="000000" w:themeColor="text1"/>
          <w:sz w:val="24"/>
          <w:szCs w:val="24"/>
        </w:rPr>
        <w:t> </w:t>
      </w:r>
      <w:r w:rsidR="519EB0BC" w:rsidRPr="004C083C">
        <w:rPr>
          <w:color w:val="000000" w:themeColor="text1"/>
          <w:sz w:val="24"/>
          <w:szCs w:val="24"/>
        </w:rPr>
        <w:t>70</w:t>
      </w:r>
      <w:r w:rsidR="519EB0BC" w:rsidRPr="519EB0BC">
        <w:rPr>
          <w:i/>
          <w:iCs/>
          <w:color w:val="000000" w:themeColor="text1"/>
          <w:sz w:val="24"/>
          <w:szCs w:val="24"/>
        </w:rPr>
        <w:t>.</w:t>
      </w:r>
    </w:p>
  </w:footnote>
  <w:footnote w:id="67">
    <w:p w14:paraId="2B204CDD" w14:textId="0CD30E83" w:rsidR="00AD0794" w:rsidRDefault="00AD0794" w:rsidP="1CB0A6BE">
      <w:pPr>
        <w:pStyle w:val="FootnoteText"/>
        <w:rPr>
          <w:i/>
        </w:rPr>
      </w:pPr>
      <w:r w:rsidRPr="7403D796">
        <w:rPr>
          <w:rStyle w:val="FootnoteReference"/>
          <w:rFonts w:eastAsia="Times New Roman"/>
          <w:sz w:val="24"/>
          <w:szCs w:val="24"/>
        </w:rPr>
        <w:footnoteRef/>
      </w:r>
      <w:r w:rsidR="1CB0A6BE" w:rsidRPr="7403D796">
        <w:rPr>
          <w:rFonts w:eastAsia="Times New Roman"/>
          <w:sz w:val="24"/>
          <w:szCs w:val="24"/>
        </w:rPr>
        <w:t xml:space="preserve"> </w:t>
      </w:r>
      <w:r w:rsidR="1CB0A6BE" w:rsidRPr="1CB0A6BE">
        <w:rPr>
          <w:rFonts w:eastAsia="Times New Roman"/>
          <w:i/>
          <w:iCs/>
          <w:sz w:val="24"/>
          <w:szCs w:val="24"/>
        </w:rPr>
        <w:t>Pacte</w:t>
      </w:r>
      <w:r w:rsidR="1CB0A6BE" w:rsidRPr="7403D796">
        <w:rPr>
          <w:rFonts w:eastAsia="Times New Roman"/>
          <w:sz w:val="24"/>
          <w:szCs w:val="24"/>
        </w:rPr>
        <w:t xml:space="preserve">, </w:t>
      </w:r>
      <w:r w:rsidR="1CB0A6BE" w:rsidRPr="1CB0A6BE">
        <w:rPr>
          <w:rFonts w:eastAsia="Times New Roman"/>
          <w:i/>
          <w:iCs/>
          <w:sz w:val="24"/>
          <w:szCs w:val="24"/>
        </w:rPr>
        <w:t>supra</w:t>
      </w:r>
      <w:r w:rsidR="1CB0A6BE" w:rsidRPr="7403D796">
        <w:rPr>
          <w:rFonts w:eastAsia="Times New Roman"/>
          <w:sz w:val="24"/>
          <w:szCs w:val="24"/>
        </w:rPr>
        <w:t xml:space="preserve"> note</w:t>
      </w:r>
      <w:r w:rsidR="009F63AB">
        <w:rPr>
          <w:rFonts w:eastAsia="Times New Roman"/>
          <w:sz w:val="24"/>
          <w:szCs w:val="24"/>
        </w:rPr>
        <w:t> </w:t>
      </w:r>
      <w:r w:rsidR="1CB0A6BE" w:rsidRPr="7403D796">
        <w:rPr>
          <w:rFonts w:eastAsia="Times New Roman"/>
          <w:sz w:val="24"/>
          <w:szCs w:val="24"/>
        </w:rPr>
        <w:t>3</w:t>
      </w:r>
    </w:p>
  </w:footnote>
  <w:footnote w:id="68">
    <w:p w14:paraId="11317C60" w14:textId="434481A4" w:rsidR="00AD0794" w:rsidRPr="00F63AD3" w:rsidRDefault="00AD0794" w:rsidP="00AD0794">
      <w:pPr>
        <w:pStyle w:val="FootnoteText"/>
        <w:rPr>
          <w:i/>
          <w:iCs/>
        </w:rPr>
      </w:pPr>
      <w:r w:rsidRPr="7403D796">
        <w:rPr>
          <w:rStyle w:val="FootnoteReference"/>
          <w:rFonts w:eastAsia="Times New Roman"/>
          <w:sz w:val="24"/>
          <w:szCs w:val="24"/>
        </w:rPr>
        <w:footnoteRef/>
      </w:r>
      <w:r w:rsidRPr="7403D796">
        <w:rPr>
          <w:rFonts w:eastAsia="Times New Roman"/>
          <w:sz w:val="24"/>
          <w:szCs w:val="24"/>
        </w:rPr>
        <w:t xml:space="preserve"> </w:t>
      </w:r>
      <w:r w:rsidR="00F63AD3">
        <w:rPr>
          <w:rFonts w:eastAsia="Times New Roman"/>
          <w:i/>
          <w:iCs/>
          <w:sz w:val="24"/>
          <w:szCs w:val="24"/>
        </w:rPr>
        <w:t>Ibid.</w:t>
      </w:r>
    </w:p>
  </w:footnote>
  <w:footnote w:id="69">
    <w:p w14:paraId="18A1D695" w14:textId="3EF491D7" w:rsidR="0020358A" w:rsidRPr="00F83637" w:rsidRDefault="0020358A">
      <w:pPr>
        <w:pStyle w:val="FootnoteText"/>
      </w:pPr>
      <w:r w:rsidRPr="7403D796">
        <w:rPr>
          <w:rStyle w:val="FootnoteReference"/>
          <w:rFonts w:eastAsia="Times New Roman"/>
          <w:sz w:val="24"/>
          <w:szCs w:val="24"/>
        </w:rPr>
        <w:footnoteRef/>
      </w:r>
      <w:r w:rsidR="779E46D6" w:rsidRPr="00F44611">
        <w:rPr>
          <w:sz w:val="24"/>
          <w:szCs w:val="24"/>
        </w:rPr>
        <w:t xml:space="preserve"> </w:t>
      </w:r>
      <w:r w:rsidR="779E46D6" w:rsidRPr="779E46D6">
        <w:rPr>
          <w:i/>
          <w:iCs/>
          <w:sz w:val="24"/>
          <w:szCs w:val="24"/>
        </w:rPr>
        <w:t>Krishnamoorthy c</w:t>
      </w:r>
      <w:r w:rsidR="779E46D6" w:rsidRPr="00F44611">
        <w:rPr>
          <w:sz w:val="24"/>
          <w:szCs w:val="24"/>
        </w:rPr>
        <w:t xml:space="preserve"> </w:t>
      </w:r>
      <w:r w:rsidR="779E46D6" w:rsidRPr="779E46D6">
        <w:rPr>
          <w:i/>
          <w:iCs/>
          <w:sz w:val="24"/>
          <w:szCs w:val="24"/>
        </w:rPr>
        <w:t xml:space="preserve">Canada (Citoyenneté et Immigration), </w:t>
      </w:r>
      <w:r w:rsidR="779E46D6" w:rsidRPr="00F44611">
        <w:rPr>
          <w:sz w:val="24"/>
          <w:szCs w:val="24"/>
        </w:rPr>
        <w:t>2011 CF 1341 au para</w:t>
      </w:r>
      <w:r w:rsidR="00E0138D">
        <w:rPr>
          <w:sz w:val="24"/>
          <w:szCs w:val="24"/>
        </w:rPr>
        <w:t> </w:t>
      </w:r>
      <w:r w:rsidR="779E46D6" w:rsidRPr="00F44611">
        <w:rPr>
          <w:sz w:val="24"/>
          <w:szCs w:val="24"/>
        </w:rPr>
        <w:t>21</w:t>
      </w:r>
      <w:r w:rsidR="00E0138D">
        <w:rPr>
          <w:sz w:val="24"/>
          <w:szCs w:val="24"/>
        </w:rPr>
        <w:t> </w:t>
      </w:r>
      <w:r w:rsidR="779E46D6" w:rsidRPr="00F44611">
        <w:rPr>
          <w:sz w:val="24"/>
          <w:szCs w:val="24"/>
        </w:rPr>
        <w:t xml:space="preserve">; </w:t>
      </w:r>
      <w:r w:rsidR="779E46D6" w:rsidRPr="779E46D6">
        <w:rPr>
          <w:i/>
          <w:iCs/>
          <w:sz w:val="24"/>
          <w:szCs w:val="24"/>
        </w:rPr>
        <w:t>Poshteh c</w:t>
      </w:r>
      <w:r w:rsidR="779E46D6" w:rsidRPr="00F44611">
        <w:rPr>
          <w:sz w:val="24"/>
          <w:szCs w:val="24"/>
        </w:rPr>
        <w:t xml:space="preserve"> </w:t>
      </w:r>
      <w:r w:rsidR="779E46D6" w:rsidRPr="779E46D6">
        <w:rPr>
          <w:i/>
          <w:iCs/>
          <w:sz w:val="24"/>
          <w:szCs w:val="24"/>
        </w:rPr>
        <w:t>Canada (Ministre de la Citoyenneté et de l</w:t>
      </w:r>
      <w:r w:rsidR="00E0138D">
        <w:rPr>
          <w:i/>
          <w:iCs/>
          <w:sz w:val="24"/>
          <w:szCs w:val="24"/>
        </w:rPr>
        <w:t>’</w:t>
      </w:r>
      <w:r w:rsidR="779E46D6" w:rsidRPr="779E46D6">
        <w:rPr>
          <w:i/>
          <w:iCs/>
          <w:sz w:val="24"/>
          <w:szCs w:val="24"/>
        </w:rPr>
        <w:t>Immigration)</w:t>
      </w:r>
      <w:r w:rsidR="779E46D6" w:rsidRPr="00F44611">
        <w:rPr>
          <w:sz w:val="24"/>
          <w:szCs w:val="24"/>
        </w:rPr>
        <w:t>, 2005 CAF 85, aux para</w:t>
      </w:r>
      <w:r w:rsidR="00E0138D">
        <w:rPr>
          <w:sz w:val="24"/>
          <w:szCs w:val="24"/>
        </w:rPr>
        <w:t> </w:t>
      </w:r>
      <w:r w:rsidR="779E46D6" w:rsidRPr="00F44611">
        <w:rPr>
          <w:sz w:val="24"/>
          <w:szCs w:val="24"/>
        </w:rPr>
        <w:t>27 à 29</w:t>
      </w:r>
      <w:r w:rsidR="00E0138D">
        <w:rPr>
          <w:sz w:val="24"/>
          <w:szCs w:val="24"/>
        </w:rPr>
        <w:t> </w:t>
      </w:r>
      <w:r w:rsidR="779E46D6" w:rsidRPr="00F44611">
        <w:rPr>
          <w:sz w:val="24"/>
          <w:szCs w:val="24"/>
        </w:rPr>
        <w:t xml:space="preserve">; </w:t>
      </w:r>
      <w:r w:rsidR="779E46D6" w:rsidRPr="779E46D6">
        <w:rPr>
          <w:i/>
          <w:iCs/>
          <w:sz w:val="24"/>
          <w:szCs w:val="24"/>
        </w:rPr>
        <w:t>Chiau c Canada (Ministre de la Citoyenneté et de l</w:t>
      </w:r>
      <w:r w:rsidR="00E0138D">
        <w:rPr>
          <w:i/>
          <w:iCs/>
          <w:sz w:val="24"/>
          <w:szCs w:val="24"/>
        </w:rPr>
        <w:t>’</w:t>
      </w:r>
      <w:r w:rsidR="779E46D6" w:rsidRPr="779E46D6">
        <w:rPr>
          <w:i/>
          <w:iCs/>
          <w:sz w:val="24"/>
          <w:szCs w:val="24"/>
        </w:rPr>
        <w:t>Immigration)</w:t>
      </w:r>
      <w:r w:rsidR="779E46D6" w:rsidRPr="00F44611">
        <w:rPr>
          <w:sz w:val="24"/>
          <w:szCs w:val="24"/>
        </w:rPr>
        <w:t>, [2001] 2 CF 297, au para</w:t>
      </w:r>
      <w:r w:rsidR="00E0138D">
        <w:rPr>
          <w:sz w:val="24"/>
          <w:szCs w:val="24"/>
        </w:rPr>
        <w:t> </w:t>
      </w:r>
      <w:r w:rsidR="779E46D6" w:rsidRPr="00F44611">
        <w:rPr>
          <w:sz w:val="24"/>
          <w:szCs w:val="24"/>
        </w:rPr>
        <w:t>25.</w:t>
      </w:r>
    </w:p>
  </w:footnote>
  <w:footnote w:id="70">
    <w:p w14:paraId="34CC6005" w14:textId="32FFCE63" w:rsidR="00C52611" w:rsidRDefault="00C52611">
      <w:pPr>
        <w:pStyle w:val="FootnoteText"/>
      </w:pPr>
      <w:r w:rsidRPr="7403D796">
        <w:rPr>
          <w:rStyle w:val="FootnoteReference"/>
          <w:rFonts w:eastAsia="Times New Roman"/>
          <w:sz w:val="24"/>
          <w:szCs w:val="24"/>
        </w:rPr>
        <w:footnoteRef/>
      </w:r>
      <w:r w:rsidR="5A7C6FB1" w:rsidRPr="7403D796">
        <w:rPr>
          <w:rFonts w:eastAsia="Times New Roman"/>
          <w:sz w:val="24"/>
          <w:szCs w:val="24"/>
        </w:rPr>
        <w:t xml:space="preserve"> </w:t>
      </w:r>
      <w:r w:rsidR="5A7C6FB1" w:rsidRPr="5A7C6FB1">
        <w:rPr>
          <w:i/>
          <w:iCs/>
          <w:sz w:val="24"/>
          <w:szCs w:val="24"/>
        </w:rPr>
        <w:t>Toronto Coalition to Stop the War c</w:t>
      </w:r>
      <w:r w:rsidR="5A7C6FB1" w:rsidRPr="004F0E2B">
        <w:rPr>
          <w:sz w:val="24"/>
          <w:szCs w:val="24"/>
        </w:rPr>
        <w:t xml:space="preserve"> </w:t>
      </w:r>
      <w:r w:rsidR="5A7C6FB1" w:rsidRPr="5A7C6FB1">
        <w:rPr>
          <w:i/>
          <w:iCs/>
          <w:sz w:val="24"/>
          <w:szCs w:val="24"/>
        </w:rPr>
        <w:t>Canada (Ministre de la Sécurité publique et de la Protection civile)</w:t>
      </w:r>
      <w:r w:rsidR="5A7C6FB1" w:rsidRPr="004F0E2B">
        <w:rPr>
          <w:sz w:val="24"/>
          <w:szCs w:val="24"/>
        </w:rPr>
        <w:t>, 2010 CF 957 au para 118.</w:t>
      </w:r>
    </w:p>
  </w:footnote>
  <w:footnote w:id="71">
    <w:p w14:paraId="2A606B49" w14:textId="54B0B809" w:rsidR="001839C0" w:rsidRDefault="001839C0">
      <w:pPr>
        <w:pStyle w:val="FootnoteText"/>
      </w:pPr>
      <w:r w:rsidRPr="7403D796">
        <w:rPr>
          <w:rStyle w:val="FootnoteReference"/>
          <w:rFonts w:eastAsia="Times New Roman"/>
          <w:sz w:val="24"/>
          <w:szCs w:val="24"/>
        </w:rPr>
        <w:footnoteRef/>
      </w:r>
      <w:r w:rsidR="5A7C6FB1" w:rsidRPr="7403D796">
        <w:rPr>
          <w:rFonts w:eastAsia="Times New Roman"/>
          <w:sz w:val="24"/>
          <w:szCs w:val="24"/>
        </w:rPr>
        <w:t xml:space="preserve"> </w:t>
      </w:r>
      <w:r w:rsidR="5A7C6FB1" w:rsidRPr="5A7C6FB1">
        <w:rPr>
          <w:i/>
          <w:iCs/>
          <w:sz w:val="24"/>
          <w:szCs w:val="24"/>
        </w:rPr>
        <w:t>El Werfalli c Canada (Sécurité publique et Protection civile)</w:t>
      </w:r>
      <w:r w:rsidR="5A7C6FB1" w:rsidRPr="0037557A">
        <w:rPr>
          <w:sz w:val="24"/>
          <w:szCs w:val="24"/>
        </w:rPr>
        <w:t>, 2013 CF 612</w:t>
      </w:r>
      <w:r w:rsidR="5A7C6FB1">
        <w:rPr>
          <w:sz w:val="24"/>
          <w:szCs w:val="24"/>
        </w:rPr>
        <w:t xml:space="preserve"> aux para</w:t>
      </w:r>
      <w:r w:rsidR="00E0138D">
        <w:rPr>
          <w:sz w:val="24"/>
          <w:szCs w:val="24"/>
        </w:rPr>
        <w:t> </w:t>
      </w:r>
      <w:r w:rsidR="5A7C6FB1">
        <w:rPr>
          <w:sz w:val="24"/>
          <w:szCs w:val="24"/>
        </w:rPr>
        <w:t>59 et 68.</w:t>
      </w:r>
    </w:p>
  </w:footnote>
  <w:footnote w:id="72">
    <w:p w14:paraId="030F4314" w14:textId="78358E70" w:rsidR="002C6A9A" w:rsidRPr="00F83637" w:rsidRDefault="002C6A9A" w:rsidP="002C6A9A">
      <w:pPr>
        <w:pStyle w:val="FootnoteText"/>
      </w:pPr>
      <w:r w:rsidRPr="7403D796">
        <w:rPr>
          <w:rStyle w:val="FootnoteReference"/>
          <w:rFonts w:eastAsia="Times New Roman"/>
          <w:sz w:val="24"/>
          <w:szCs w:val="24"/>
        </w:rPr>
        <w:footnoteRef/>
      </w:r>
      <w:r w:rsidR="1C2916C0" w:rsidRPr="7403D796">
        <w:rPr>
          <w:rFonts w:eastAsia="Times New Roman"/>
          <w:sz w:val="24"/>
          <w:szCs w:val="24"/>
        </w:rPr>
        <w:t xml:space="preserve"> </w:t>
      </w:r>
      <w:r w:rsidR="1C2916C0" w:rsidRPr="1C2916C0">
        <w:rPr>
          <w:i/>
          <w:iCs/>
          <w:sz w:val="24"/>
          <w:szCs w:val="24"/>
        </w:rPr>
        <w:t xml:space="preserve">Oremade, supra, </w:t>
      </w:r>
      <w:r w:rsidR="1C2916C0" w:rsidRPr="00F83637">
        <w:rPr>
          <w:sz w:val="24"/>
          <w:szCs w:val="24"/>
        </w:rPr>
        <w:t>note 40</w:t>
      </w:r>
      <w:r w:rsidR="1C2916C0">
        <w:rPr>
          <w:sz w:val="24"/>
          <w:szCs w:val="24"/>
        </w:rPr>
        <w:t>.</w:t>
      </w:r>
    </w:p>
  </w:footnote>
  <w:footnote w:id="73">
    <w:p w14:paraId="6C958C56" w14:textId="4CF619B8" w:rsidR="00144BC8" w:rsidRPr="00FC3701" w:rsidRDefault="00144BC8" w:rsidP="00144BC8">
      <w:pPr>
        <w:pStyle w:val="FootnoteText"/>
      </w:pPr>
      <w:r w:rsidRPr="7403D796">
        <w:rPr>
          <w:rStyle w:val="FootnoteReference"/>
          <w:rFonts w:eastAsia="Times New Roman"/>
          <w:sz w:val="24"/>
          <w:szCs w:val="24"/>
        </w:rPr>
        <w:footnoteRef/>
      </w:r>
      <w:r w:rsidR="5A47EA4B" w:rsidRPr="7403D796">
        <w:rPr>
          <w:rFonts w:eastAsia="Times New Roman"/>
          <w:sz w:val="24"/>
          <w:szCs w:val="24"/>
        </w:rPr>
        <w:t xml:space="preserve"> </w:t>
      </w:r>
      <w:r w:rsidR="5A47EA4B" w:rsidRPr="5A47EA4B">
        <w:rPr>
          <w:i/>
          <w:iCs/>
          <w:sz w:val="24"/>
          <w:szCs w:val="24"/>
        </w:rPr>
        <w:t>Gacho c</w:t>
      </w:r>
      <w:r w:rsidR="5A47EA4B" w:rsidRPr="00144BC8">
        <w:rPr>
          <w:sz w:val="24"/>
          <w:szCs w:val="24"/>
        </w:rPr>
        <w:t xml:space="preserve"> </w:t>
      </w:r>
      <w:r w:rsidR="5A47EA4B" w:rsidRPr="5A47EA4B">
        <w:rPr>
          <w:i/>
          <w:iCs/>
          <w:sz w:val="24"/>
          <w:szCs w:val="24"/>
        </w:rPr>
        <w:t>Canada (Citoyenneté et Immigration)</w:t>
      </w:r>
      <w:r w:rsidR="5A47EA4B" w:rsidRPr="00144BC8">
        <w:rPr>
          <w:sz w:val="24"/>
          <w:szCs w:val="24"/>
        </w:rPr>
        <w:t>, 2016 CF 794, au para</w:t>
      </w:r>
      <w:r w:rsidR="00E0138D">
        <w:rPr>
          <w:sz w:val="24"/>
          <w:szCs w:val="24"/>
        </w:rPr>
        <w:t> </w:t>
      </w:r>
      <w:r w:rsidR="5A47EA4B" w:rsidRPr="00144BC8">
        <w:rPr>
          <w:sz w:val="24"/>
          <w:szCs w:val="24"/>
        </w:rPr>
        <w:t>24</w:t>
      </w:r>
      <w:r w:rsidR="00E0138D">
        <w:rPr>
          <w:sz w:val="24"/>
          <w:szCs w:val="24"/>
        </w:rPr>
        <w:t> </w:t>
      </w:r>
      <w:r w:rsidR="5A47EA4B" w:rsidRPr="00144BC8">
        <w:rPr>
          <w:sz w:val="24"/>
          <w:szCs w:val="24"/>
        </w:rPr>
        <w:t xml:space="preserve">; </w:t>
      </w:r>
      <w:r w:rsidR="5A47EA4B" w:rsidRPr="5A47EA4B">
        <w:rPr>
          <w:i/>
          <w:iCs/>
          <w:sz w:val="24"/>
          <w:szCs w:val="24"/>
        </w:rPr>
        <w:t>Sinnaiah c Canada (Ministre de la Citoyenneté et de l’Immigration)</w:t>
      </w:r>
      <w:r w:rsidR="5A47EA4B" w:rsidRPr="00144BC8">
        <w:rPr>
          <w:sz w:val="24"/>
          <w:szCs w:val="24"/>
        </w:rPr>
        <w:t>, 2004 CF 1576</w:t>
      </w:r>
      <w:r w:rsidR="5A47EA4B">
        <w:rPr>
          <w:sz w:val="24"/>
          <w:szCs w:val="24"/>
        </w:rPr>
        <w:t>.</w:t>
      </w:r>
    </w:p>
  </w:footnote>
  <w:footnote w:id="74">
    <w:p w14:paraId="4AC96346" w14:textId="3C8FF3A1" w:rsidR="004E4538" w:rsidRDefault="004E4538">
      <w:pPr>
        <w:pStyle w:val="FootnoteText"/>
      </w:pPr>
      <w:r w:rsidRPr="7403D796">
        <w:rPr>
          <w:rStyle w:val="FootnoteReference"/>
          <w:rFonts w:eastAsia="Times New Roman"/>
          <w:sz w:val="24"/>
          <w:szCs w:val="24"/>
        </w:rPr>
        <w:footnoteRef/>
      </w:r>
      <w:r w:rsidR="5A47EA4B" w:rsidRPr="7403D796">
        <w:rPr>
          <w:rFonts w:eastAsia="Times New Roman"/>
          <w:sz w:val="24"/>
          <w:szCs w:val="24"/>
        </w:rPr>
        <w:t xml:space="preserve"> </w:t>
      </w:r>
      <w:r w:rsidR="5A47EA4B" w:rsidRPr="1A3E6C66">
        <w:rPr>
          <w:i/>
          <w:sz w:val="24"/>
          <w:szCs w:val="24"/>
        </w:rPr>
        <w:t xml:space="preserve">P.S. </w:t>
      </w:r>
      <w:r w:rsidR="5A47EA4B" w:rsidRPr="5A47EA4B">
        <w:rPr>
          <w:i/>
          <w:iCs/>
          <w:sz w:val="24"/>
          <w:szCs w:val="24"/>
        </w:rPr>
        <w:t>c</w:t>
      </w:r>
      <w:r w:rsidR="5A47EA4B" w:rsidRPr="003F3880">
        <w:rPr>
          <w:sz w:val="24"/>
          <w:szCs w:val="24"/>
        </w:rPr>
        <w:t xml:space="preserve"> </w:t>
      </w:r>
      <w:r w:rsidR="5A47EA4B" w:rsidRPr="1A3E6C66">
        <w:rPr>
          <w:i/>
          <w:sz w:val="24"/>
          <w:szCs w:val="24"/>
        </w:rPr>
        <w:t>Canada (Ministre de la Citoyenneté et de l</w:t>
      </w:r>
      <w:r w:rsidR="00E0138D">
        <w:rPr>
          <w:i/>
          <w:sz w:val="24"/>
          <w:szCs w:val="24"/>
        </w:rPr>
        <w:t>’</w:t>
      </w:r>
      <w:r w:rsidR="5A47EA4B" w:rsidRPr="1A3E6C66">
        <w:rPr>
          <w:i/>
          <w:sz w:val="24"/>
          <w:szCs w:val="24"/>
        </w:rPr>
        <w:t>Immigration)</w:t>
      </w:r>
      <w:r w:rsidR="5A47EA4B" w:rsidRPr="003F3880">
        <w:rPr>
          <w:sz w:val="24"/>
          <w:szCs w:val="24"/>
        </w:rPr>
        <w:t>, 2014 CF 168 au para</w:t>
      </w:r>
      <w:r w:rsidR="00E0138D">
        <w:rPr>
          <w:sz w:val="24"/>
          <w:szCs w:val="24"/>
        </w:rPr>
        <w:t> </w:t>
      </w:r>
      <w:r w:rsidR="5A47EA4B" w:rsidRPr="003F3880">
        <w:rPr>
          <w:sz w:val="24"/>
          <w:szCs w:val="24"/>
        </w:rPr>
        <w:t>9.</w:t>
      </w:r>
    </w:p>
  </w:footnote>
  <w:footnote w:id="75">
    <w:p w14:paraId="0443BABF" w14:textId="29BCAFDB" w:rsidR="006730C4" w:rsidRPr="006730C4" w:rsidRDefault="006730C4">
      <w:pPr>
        <w:pStyle w:val="FootnoteText"/>
      </w:pPr>
      <w:r w:rsidRPr="7403D796">
        <w:rPr>
          <w:rStyle w:val="FootnoteReference"/>
          <w:rFonts w:eastAsia="Times New Roman"/>
          <w:sz w:val="24"/>
          <w:szCs w:val="24"/>
        </w:rPr>
        <w:footnoteRef/>
      </w:r>
      <w:r w:rsidR="2F76DB4C" w:rsidRPr="7403D796">
        <w:rPr>
          <w:rFonts w:eastAsia="Times New Roman"/>
          <w:sz w:val="24"/>
          <w:szCs w:val="24"/>
        </w:rPr>
        <w:t xml:space="preserve"> </w:t>
      </w:r>
      <w:r w:rsidR="2F76DB4C" w:rsidRPr="2F76DB4C">
        <w:rPr>
          <w:i/>
          <w:iCs/>
          <w:sz w:val="24"/>
          <w:szCs w:val="24"/>
        </w:rPr>
        <w:t xml:space="preserve">Krishnamoorthy, supra, </w:t>
      </w:r>
      <w:r w:rsidR="2F76DB4C" w:rsidRPr="00F87245">
        <w:rPr>
          <w:sz w:val="24"/>
          <w:szCs w:val="24"/>
        </w:rPr>
        <w:t>note 68.</w:t>
      </w:r>
    </w:p>
  </w:footnote>
  <w:footnote w:id="76">
    <w:p w14:paraId="48845A15" w14:textId="11DAEA2E" w:rsidR="00CC348B" w:rsidRDefault="00CC348B">
      <w:pPr>
        <w:pStyle w:val="FootnoteText"/>
      </w:pPr>
      <w:r w:rsidRPr="7403D796">
        <w:rPr>
          <w:rStyle w:val="FootnoteReference"/>
          <w:rFonts w:eastAsia="Times New Roman"/>
          <w:sz w:val="24"/>
          <w:szCs w:val="24"/>
        </w:rPr>
        <w:footnoteRef/>
      </w:r>
      <w:r w:rsidR="5A47EA4B" w:rsidRPr="7403D796">
        <w:rPr>
          <w:rFonts w:eastAsia="Times New Roman"/>
          <w:sz w:val="24"/>
          <w:szCs w:val="24"/>
        </w:rPr>
        <w:t xml:space="preserve"> </w:t>
      </w:r>
      <w:r w:rsidR="5A47EA4B" w:rsidRPr="5A47EA4B">
        <w:rPr>
          <w:i/>
          <w:iCs/>
          <w:sz w:val="24"/>
          <w:szCs w:val="24"/>
        </w:rPr>
        <w:t xml:space="preserve">Jalloh c Canada (Ministre de la Sécurité publique et de la Protection civile) </w:t>
      </w:r>
      <w:r w:rsidR="5A47EA4B" w:rsidRPr="00F87245">
        <w:rPr>
          <w:sz w:val="24"/>
          <w:szCs w:val="24"/>
        </w:rPr>
        <w:t>2012 CF 317 au para</w:t>
      </w:r>
      <w:r w:rsidR="00E0138D">
        <w:rPr>
          <w:sz w:val="24"/>
          <w:szCs w:val="24"/>
        </w:rPr>
        <w:t> </w:t>
      </w:r>
      <w:r w:rsidR="5A47EA4B" w:rsidRPr="00F87245">
        <w:rPr>
          <w:sz w:val="24"/>
          <w:szCs w:val="24"/>
        </w:rPr>
        <w:t>10.</w:t>
      </w:r>
    </w:p>
  </w:footnote>
  <w:footnote w:id="77">
    <w:p w14:paraId="401BB0C1" w14:textId="5BC56087" w:rsidR="00FF6AFC" w:rsidRPr="00FF6AFC" w:rsidRDefault="00FF6AFC">
      <w:pPr>
        <w:pStyle w:val="FootnoteText"/>
      </w:pPr>
      <w:r w:rsidRPr="7403D796">
        <w:rPr>
          <w:rStyle w:val="FootnoteReference"/>
          <w:rFonts w:eastAsia="Times New Roman"/>
          <w:sz w:val="24"/>
          <w:szCs w:val="24"/>
        </w:rPr>
        <w:footnoteRef/>
      </w:r>
      <w:r w:rsidR="5A47EA4B" w:rsidRPr="7403D796">
        <w:rPr>
          <w:rFonts w:eastAsia="Times New Roman"/>
          <w:sz w:val="24"/>
          <w:szCs w:val="24"/>
        </w:rPr>
        <w:t xml:space="preserve"> </w:t>
      </w:r>
      <w:r w:rsidR="5A47EA4B" w:rsidRPr="5A47EA4B">
        <w:rPr>
          <w:i/>
          <w:iCs/>
          <w:sz w:val="24"/>
          <w:szCs w:val="24"/>
        </w:rPr>
        <w:t>Ezokola c Canada (Citoyenneté et Immigration)</w:t>
      </w:r>
      <w:r w:rsidR="5A47EA4B" w:rsidRPr="00102491">
        <w:rPr>
          <w:sz w:val="24"/>
          <w:szCs w:val="24"/>
        </w:rPr>
        <w:t>, 2013 CSC</w:t>
      </w:r>
      <w:r w:rsidR="00E0138D">
        <w:rPr>
          <w:sz w:val="24"/>
          <w:szCs w:val="24"/>
        </w:rPr>
        <w:t> </w:t>
      </w:r>
      <w:r w:rsidR="5A47EA4B" w:rsidRPr="00102491">
        <w:rPr>
          <w:sz w:val="24"/>
          <w:szCs w:val="24"/>
        </w:rPr>
        <w:t>40, aux para</w:t>
      </w:r>
      <w:r w:rsidR="00E0138D">
        <w:rPr>
          <w:sz w:val="24"/>
          <w:szCs w:val="24"/>
        </w:rPr>
        <w:t> </w:t>
      </w:r>
      <w:r w:rsidR="5A47EA4B" w:rsidRPr="00102491">
        <w:rPr>
          <w:sz w:val="24"/>
          <w:szCs w:val="24"/>
        </w:rPr>
        <w:t xml:space="preserve">29 et 86 et </w:t>
      </w:r>
      <w:r w:rsidR="5A47EA4B">
        <w:rPr>
          <w:sz w:val="24"/>
          <w:szCs w:val="24"/>
        </w:rPr>
        <w:t>s.</w:t>
      </w:r>
    </w:p>
  </w:footnote>
  <w:footnote w:id="78">
    <w:p w14:paraId="72905944" w14:textId="323B7D91" w:rsidR="00B92841" w:rsidRDefault="00B92841">
      <w:pPr>
        <w:pStyle w:val="FootnoteText"/>
      </w:pPr>
      <w:r w:rsidRPr="7403D796">
        <w:rPr>
          <w:rStyle w:val="FootnoteReference"/>
          <w:rFonts w:eastAsia="Times New Roman"/>
          <w:sz w:val="24"/>
          <w:szCs w:val="24"/>
        </w:rPr>
        <w:footnoteRef/>
      </w:r>
      <w:r w:rsidR="1017E3F3" w:rsidRPr="7403D796">
        <w:rPr>
          <w:rFonts w:eastAsia="Times New Roman"/>
          <w:sz w:val="24"/>
          <w:szCs w:val="24"/>
        </w:rPr>
        <w:t xml:space="preserve"> </w:t>
      </w:r>
      <w:r w:rsidR="1017E3F3" w:rsidRPr="1017E3F3">
        <w:rPr>
          <w:i/>
          <w:iCs/>
          <w:sz w:val="24"/>
          <w:szCs w:val="24"/>
        </w:rPr>
        <w:t>Kanagendren c</w:t>
      </w:r>
      <w:r w:rsidR="1017E3F3" w:rsidRPr="005F5ABB">
        <w:rPr>
          <w:sz w:val="24"/>
          <w:szCs w:val="24"/>
        </w:rPr>
        <w:t xml:space="preserve"> </w:t>
      </w:r>
      <w:r w:rsidR="1017E3F3" w:rsidRPr="1017E3F3">
        <w:rPr>
          <w:i/>
          <w:iCs/>
          <w:sz w:val="24"/>
          <w:szCs w:val="24"/>
        </w:rPr>
        <w:t>Canada (Citoyenneté et Immigration)</w:t>
      </w:r>
      <w:r w:rsidR="1017E3F3">
        <w:rPr>
          <w:sz w:val="24"/>
          <w:szCs w:val="24"/>
        </w:rPr>
        <w:t xml:space="preserve">, </w:t>
      </w:r>
      <w:r w:rsidR="1017E3F3" w:rsidRPr="005F5ABB">
        <w:rPr>
          <w:sz w:val="24"/>
          <w:szCs w:val="24"/>
        </w:rPr>
        <w:t>2015 CAF 86</w:t>
      </w:r>
      <w:r w:rsidR="1017E3F3">
        <w:rPr>
          <w:sz w:val="24"/>
          <w:szCs w:val="24"/>
        </w:rPr>
        <w:t>.</w:t>
      </w:r>
    </w:p>
  </w:footnote>
  <w:footnote w:id="79">
    <w:p w14:paraId="26BDF9E7" w14:textId="2081126C" w:rsidR="07ABB96B" w:rsidRDefault="07ABB96B" w:rsidP="07ABB96B">
      <w:pPr>
        <w:pStyle w:val="FootnoteText"/>
      </w:pPr>
      <w:r w:rsidRPr="7403D796">
        <w:rPr>
          <w:rStyle w:val="FootnoteReference"/>
          <w:rFonts w:eastAsia="Times New Roman"/>
          <w:sz w:val="24"/>
          <w:szCs w:val="24"/>
        </w:rPr>
        <w:footnoteRef/>
      </w:r>
      <w:r w:rsidR="1017E3F3" w:rsidRPr="7403D796">
        <w:rPr>
          <w:rFonts w:eastAsia="Times New Roman"/>
          <w:sz w:val="24"/>
          <w:szCs w:val="24"/>
        </w:rPr>
        <w:t xml:space="preserve"> </w:t>
      </w:r>
      <w:r w:rsidR="1017E3F3" w:rsidRPr="1017E3F3">
        <w:rPr>
          <w:i/>
          <w:iCs/>
          <w:sz w:val="24"/>
          <w:szCs w:val="24"/>
        </w:rPr>
        <w:t xml:space="preserve">Chowdhury </w:t>
      </w:r>
      <w:r w:rsidR="1017E3F3">
        <w:rPr>
          <w:sz w:val="24"/>
          <w:szCs w:val="24"/>
        </w:rPr>
        <w:t>CF</w:t>
      </w:r>
      <w:r w:rsidR="1017E3F3" w:rsidRPr="1017E3F3">
        <w:rPr>
          <w:i/>
          <w:iCs/>
          <w:sz w:val="24"/>
          <w:szCs w:val="24"/>
        </w:rPr>
        <w:t xml:space="preserve">, supra, </w:t>
      </w:r>
      <w:r w:rsidR="1017E3F3" w:rsidRPr="1017E3F3">
        <w:rPr>
          <w:sz w:val="24"/>
          <w:szCs w:val="24"/>
        </w:rPr>
        <w:t>n</w:t>
      </w:r>
      <w:r w:rsidR="1017E3F3" w:rsidRPr="00AE2A29">
        <w:rPr>
          <w:sz w:val="24"/>
          <w:szCs w:val="24"/>
        </w:rPr>
        <w:t>ote</w:t>
      </w:r>
      <w:r w:rsidR="00B71523">
        <w:rPr>
          <w:sz w:val="24"/>
          <w:szCs w:val="24"/>
        </w:rPr>
        <w:t> </w:t>
      </w:r>
      <w:r w:rsidR="1017E3F3" w:rsidRPr="00AE2A29">
        <w:rPr>
          <w:sz w:val="24"/>
          <w:szCs w:val="24"/>
        </w:rPr>
        <w:t>13, au para</w:t>
      </w:r>
      <w:r w:rsidR="00B71523">
        <w:rPr>
          <w:sz w:val="24"/>
          <w:szCs w:val="24"/>
        </w:rPr>
        <w:t> </w:t>
      </w:r>
      <w:r w:rsidR="1017E3F3">
        <w:rPr>
          <w:sz w:val="24"/>
          <w:szCs w:val="24"/>
        </w:rPr>
        <w:t>14.</w:t>
      </w:r>
    </w:p>
  </w:footnote>
  <w:footnote w:id="80">
    <w:p w14:paraId="630A3EC2" w14:textId="44F3E39B" w:rsidR="07ABB96B" w:rsidRPr="00246E95" w:rsidRDefault="07ABB96B" w:rsidP="07ABB96B">
      <w:pPr>
        <w:rPr>
          <w:rFonts w:ascii="Times" w:hAnsi="Times"/>
          <w:i/>
        </w:rPr>
      </w:pPr>
      <w:r w:rsidRPr="07ABB96B">
        <w:rPr>
          <w:rStyle w:val="FootnoteReference"/>
        </w:rPr>
        <w:footnoteRef/>
      </w:r>
      <w:r>
        <w:t xml:space="preserve"> </w:t>
      </w:r>
      <w:r w:rsidR="00246E95" w:rsidRPr="7403D796">
        <w:rPr>
          <w:rFonts w:eastAsia="Times New Roman"/>
          <w:i/>
          <w:color w:val="000000" w:themeColor="text1"/>
        </w:rPr>
        <w:t>Ibid.</w:t>
      </w:r>
    </w:p>
  </w:footnote>
  <w:footnote w:id="81">
    <w:p w14:paraId="7284F66D" w14:textId="34FB0E57" w:rsidR="07ABB96B" w:rsidRDefault="07ABB96B" w:rsidP="07ABB96B">
      <w:pPr>
        <w:pStyle w:val="FootnoteText"/>
      </w:pPr>
      <w:r w:rsidRPr="7403D796">
        <w:rPr>
          <w:rStyle w:val="FootnoteReference"/>
          <w:rFonts w:eastAsia="Times New Roman"/>
          <w:sz w:val="24"/>
          <w:szCs w:val="24"/>
        </w:rPr>
        <w:footnoteRef/>
      </w:r>
      <w:r w:rsidR="1017E3F3" w:rsidRPr="7403D796">
        <w:rPr>
          <w:rFonts w:eastAsia="Times New Roman"/>
          <w:sz w:val="24"/>
          <w:szCs w:val="24"/>
        </w:rPr>
        <w:t xml:space="preserve"> </w:t>
      </w:r>
      <w:r w:rsidR="1017E3F3" w:rsidRPr="1017E3F3">
        <w:rPr>
          <w:rFonts w:eastAsia="Times New Roman"/>
          <w:i/>
          <w:iCs/>
          <w:color w:val="000000" w:themeColor="text1"/>
          <w:sz w:val="24"/>
          <w:szCs w:val="24"/>
        </w:rPr>
        <w:t>R c</w:t>
      </w:r>
      <w:r w:rsidR="1017E3F3" w:rsidRPr="7403D796">
        <w:rPr>
          <w:rFonts w:eastAsia="Times New Roman"/>
          <w:color w:val="000000" w:themeColor="text1"/>
          <w:sz w:val="24"/>
          <w:szCs w:val="24"/>
        </w:rPr>
        <w:t xml:space="preserve"> </w:t>
      </w:r>
      <w:r w:rsidR="1017E3F3" w:rsidRPr="1017E3F3">
        <w:rPr>
          <w:rFonts w:eastAsia="Times New Roman"/>
          <w:i/>
          <w:iCs/>
          <w:color w:val="000000" w:themeColor="text1"/>
          <w:sz w:val="24"/>
          <w:szCs w:val="24"/>
        </w:rPr>
        <w:t>Hibbert</w:t>
      </w:r>
      <w:r w:rsidR="1017E3F3" w:rsidRPr="7403D796">
        <w:rPr>
          <w:rFonts w:eastAsia="Times New Roman"/>
          <w:color w:val="000000" w:themeColor="text1"/>
          <w:sz w:val="24"/>
          <w:szCs w:val="24"/>
        </w:rPr>
        <w:t>, [1995] 2 R.C.S.</w:t>
      </w:r>
      <w:r w:rsidR="00B71523">
        <w:rPr>
          <w:rFonts w:eastAsia="Times New Roman"/>
          <w:color w:val="000000" w:themeColor="text1"/>
          <w:sz w:val="24"/>
          <w:szCs w:val="24"/>
        </w:rPr>
        <w:t> </w:t>
      </w:r>
      <w:r w:rsidR="1017E3F3" w:rsidRPr="7403D796">
        <w:rPr>
          <w:rFonts w:eastAsia="Times New Roman"/>
          <w:color w:val="000000" w:themeColor="text1"/>
          <w:sz w:val="24"/>
          <w:szCs w:val="24"/>
        </w:rPr>
        <w:t>973 au para</w:t>
      </w:r>
      <w:r w:rsidR="00B71523">
        <w:rPr>
          <w:rFonts w:eastAsia="Times New Roman"/>
          <w:color w:val="000000" w:themeColor="text1"/>
          <w:sz w:val="24"/>
          <w:szCs w:val="24"/>
        </w:rPr>
        <w:t> </w:t>
      </w:r>
      <w:r w:rsidR="1017E3F3" w:rsidRPr="7403D796">
        <w:rPr>
          <w:rFonts w:eastAsia="Times New Roman"/>
          <w:color w:val="000000" w:themeColor="text1"/>
          <w:sz w:val="24"/>
          <w:szCs w:val="24"/>
        </w:rPr>
        <w:t>48.</w:t>
      </w:r>
    </w:p>
  </w:footnote>
  <w:footnote w:id="82">
    <w:p w14:paraId="14F413E7" w14:textId="4B3B1756" w:rsidR="07ABB96B" w:rsidRPr="0037557A" w:rsidRDefault="07ABB96B" w:rsidP="07ABB96B">
      <w:pPr>
        <w:pStyle w:val="FootnoteText"/>
        <w:rPr>
          <w:sz w:val="24"/>
          <w:szCs w:val="24"/>
        </w:rPr>
      </w:pPr>
      <w:r w:rsidRPr="0037557A">
        <w:rPr>
          <w:rStyle w:val="FootnoteReference"/>
          <w:sz w:val="24"/>
          <w:szCs w:val="24"/>
        </w:rPr>
        <w:footnoteRef/>
      </w:r>
      <w:r w:rsidR="1017E3F3" w:rsidRPr="0037557A">
        <w:rPr>
          <w:sz w:val="24"/>
          <w:szCs w:val="24"/>
        </w:rPr>
        <w:t xml:space="preserve"> </w:t>
      </w:r>
      <w:r w:rsidR="1017E3F3" w:rsidRPr="1017E3F3">
        <w:rPr>
          <w:i/>
          <w:iCs/>
          <w:sz w:val="24"/>
          <w:szCs w:val="24"/>
        </w:rPr>
        <w:t>R c</w:t>
      </w:r>
      <w:r w:rsidR="1017E3F3" w:rsidRPr="0037557A">
        <w:rPr>
          <w:sz w:val="24"/>
          <w:szCs w:val="24"/>
        </w:rPr>
        <w:t xml:space="preserve"> </w:t>
      </w:r>
      <w:r w:rsidR="1017E3F3" w:rsidRPr="1017E3F3">
        <w:rPr>
          <w:i/>
          <w:iCs/>
          <w:sz w:val="24"/>
          <w:szCs w:val="24"/>
        </w:rPr>
        <w:t>Ruzic</w:t>
      </w:r>
      <w:r w:rsidR="1017E3F3" w:rsidRPr="0037557A">
        <w:rPr>
          <w:sz w:val="24"/>
          <w:szCs w:val="24"/>
        </w:rPr>
        <w:t>, 2001 CSC 24</w:t>
      </w:r>
      <w:r w:rsidR="1017E3F3">
        <w:rPr>
          <w:sz w:val="24"/>
          <w:szCs w:val="24"/>
        </w:rPr>
        <w:t xml:space="preserve"> au </w:t>
      </w:r>
      <w:r w:rsidR="1017E3F3" w:rsidRPr="0037557A">
        <w:rPr>
          <w:sz w:val="24"/>
          <w:szCs w:val="24"/>
        </w:rPr>
        <w:t>par</w:t>
      </w:r>
      <w:r w:rsidR="1017E3F3">
        <w:rPr>
          <w:sz w:val="24"/>
          <w:szCs w:val="24"/>
        </w:rPr>
        <w:t>a</w:t>
      </w:r>
      <w:r w:rsidR="00B71523">
        <w:rPr>
          <w:sz w:val="24"/>
          <w:szCs w:val="24"/>
        </w:rPr>
        <w:t> </w:t>
      </w:r>
      <w:r w:rsidR="1017E3F3" w:rsidRPr="0037557A">
        <w:rPr>
          <w:sz w:val="24"/>
          <w:szCs w:val="24"/>
        </w:rPr>
        <w:t>29</w:t>
      </w:r>
      <w:r w:rsidR="1017E3F3">
        <w:rPr>
          <w:sz w:val="24"/>
          <w:szCs w:val="24"/>
        </w:rPr>
        <w:t>.</w:t>
      </w:r>
    </w:p>
  </w:footnote>
  <w:footnote w:id="83">
    <w:p w14:paraId="31FB205D" w14:textId="3EA3B582" w:rsidR="43B0815B" w:rsidRPr="0037557A" w:rsidRDefault="43B0815B" w:rsidP="43B0815B">
      <w:pPr>
        <w:pStyle w:val="FootnoteText"/>
        <w:rPr>
          <w:sz w:val="24"/>
          <w:szCs w:val="24"/>
        </w:rPr>
      </w:pPr>
      <w:r w:rsidRPr="0037557A">
        <w:rPr>
          <w:rStyle w:val="FootnoteReference"/>
          <w:sz w:val="24"/>
          <w:szCs w:val="24"/>
        </w:rPr>
        <w:footnoteRef/>
      </w:r>
      <w:r w:rsidR="43E3026D" w:rsidRPr="0037557A">
        <w:rPr>
          <w:sz w:val="24"/>
          <w:szCs w:val="24"/>
        </w:rPr>
        <w:t xml:space="preserve"> </w:t>
      </w:r>
      <w:r w:rsidR="43E3026D" w:rsidRPr="43E3026D">
        <w:rPr>
          <w:i/>
          <w:iCs/>
          <w:sz w:val="24"/>
          <w:szCs w:val="24"/>
        </w:rPr>
        <w:t xml:space="preserve">Chowdhury </w:t>
      </w:r>
      <w:r w:rsidR="43E3026D">
        <w:rPr>
          <w:sz w:val="24"/>
          <w:szCs w:val="24"/>
        </w:rPr>
        <w:t>CF</w:t>
      </w:r>
      <w:r w:rsidR="43E3026D" w:rsidRPr="43E3026D">
        <w:rPr>
          <w:i/>
          <w:iCs/>
          <w:sz w:val="24"/>
          <w:szCs w:val="24"/>
        </w:rPr>
        <w:t xml:space="preserve">, supra, </w:t>
      </w:r>
      <w:r w:rsidR="43E3026D" w:rsidRPr="43E3026D">
        <w:rPr>
          <w:sz w:val="24"/>
          <w:szCs w:val="24"/>
        </w:rPr>
        <w:t>n</w:t>
      </w:r>
      <w:r w:rsidR="43E3026D" w:rsidRPr="00AE2A29">
        <w:rPr>
          <w:sz w:val="24"/>
          <w:szCs w:val="24"/>
        </w:rPr>
        <w:t>ote</w:t>
      </w:r>
      <w:r w:rsidR="00B71523">
        <w:rPr>
          <w:sz w:val="24"/>
          <w:szCs w:val="24"/>
        </w:rPr>
        <w:t> </w:t>
      </w:r>
      <w:r w:rsidR="43E3026D" w:rsidRPr="00AE2A29">
        <w:rPr>
          <w:sz w:val="24"/>
          <w:szCs w:val="24"/>
        </w:rPr>
        <w:t>13, au para</w:t>
      </w:r>
      <w:r w:rsidR="00B71523">
        <w:rPr>
          <w:sz w:val="24"/>
          <w:szCs w:val="24"/>
        </w:rPr>
        <w:t> </w:t>
      </w:r>
      <w:r w:rsidR="43E3026D">
        <w:rPr>
          <w:sz w:val="24"/>
          <w:szCs w:val="24"/>
        </w:rPr>
        <w:t>16.</w:t>
      </w:r>
    </w:p>
  </w:footnote>
  <w:footnote w:id="84">
    <w:p w14:paraId="63295274" w14:textId="30AB3094" w:rsidR="00296274" w:rsidRPr="001839C0" w:rsidRDefault="00296274">
      <w:pPr>
        <w:pStyle w:val="FootnoteText"/>
      </w:pPr>
      <w:r w:rsidRPr="0037557A">
        <w:rPr>
          <w:rStyle w:val="FootnoteReference"/>
          <w:sz w:val="24"/>
          <w:szCs w:val="24"/>
        </w:rPr>
        <w:footnoteRef/>
      </w:r>
      <w:r w:rsidR="2F76DB4C" w:rsidRPr="001839C0">
        <w:rPr>
          <w:sz w:val="24"/>
          <w:szCs w:val="24"/>
        </w:rPr>
        <w:t xml:space="preserve"> </w:t>
      </w:r>
      <w:r w:rsidR="2F76DB4C" w:rsidRPr="2F76DB4C">
        <w:rPr>
          <w:i/>
          <w:iCs/>
          <w:sz w:val="24"/>
          <w:szCs w:val="24"/>
        </w:rPr>
        <w:t>El Werfalli</w:t>
      </w:r>
      <w:r w:rsidR="2F76DB4C" w:rsidRPr="001839C0">
        <w:rPr>
          <w:sz w:val="24"/>
          <w:szCs w:val="24"/>
        </w:rPr>
        <w:t xml:space="preserve">, </w:t>
      </w:r>
      <w:r w:rsidR="2F76DB4C" w:rsidRPr="2F76DB4C">
        <w:rPr>
          <w:i/>
          <w:iCs/>
          <w:sz w:val="24"/>
          <w:szCs w:val="24"/>
        </w:rPr>
        <w:t xml:space="preserve">supra </w:t>
      </w:r>
      <w:r w:rsidR="2F76DB4C" w:rsidRPr="001839C0">
        <w:rPr>
          <w:sz w:val="24"/>
          <w:szCs w:val="24"/>
        </w:rPr>
        <w:t>note 70 au</w:t>
      </w:r>
      <w:r w:rsidR="2F76DB4C">
        <w:rPr>
          <w:sz w:val="24"/>
          <w:szCs w:val="24"/>
        </w:rPr>
        <w:t xml:space="preserve"> para</w:t>
      </w:r>
      <w:r w:rsidR="00E810F0">
        <w:rPr>
          <w:sz w:val="24"/>
          <w:szCs w:val="24"/>
        </w:rPr>
        <w:t> </w:t>
      </w:r>
      <w:r w:rsidR="2F76DB4C">
        <w:rPr>
          <w:sz w:val="24"/>
          <w:szCs w:val="24"/>
        </w:rPr>
        <w:t xml:space="preserve">65. </w:t>
      </w:r>
    </w:p>
  </w:footnote>
  <w:footnote w:id="85">
    <w:p w14:paraId="3AD465AA" w14:textId="327361A7" w:rsidR="00214A0B" w:rsidRDefault="00214A0B">
      <w:pPr>
        <w:pStyle w:val="FootnoteText"/>
      </w:pPr>
      <w:r w:rsidRPr="7403D796">
        <w:rPr>
          <w:rStyle w:val="FootnoteReference"/>
          <w:rFonts w:eastAsia="Times New Roman"/>
          <w:sz w:val="24"/>
          <w:szCs w:val="24"/>
        </w:rPr>
        <w:footnoteRef/>
      </w:r>
      <w:r w:rsidR="43E3026D" w:rsidRPr="7403D796">
        <w:rPr>
          <w:rFonts w:eastAsia="Times New Roman"/>
          <w:sz w:val="24"/>
          <w:szCs w:val="24"/>
        </w:rPr>
        <w:t xml:space="preserve"> </w:t>
      </w:r>
      <w:r w:rsidR="43E3026D" w:rsidRPr="43E3026D">
        <w:rPr>
          <w:i/>
          <w:iCs/>
          <w:sz w:val="24"/>
          <w:szCs w:val="24"/>
        </w:rPr>
        <w:t>Chowdhury</w:t>
      </w:r>
      <w:r w:rsidR="43E3026D" w:rsidRPr="00F52076">
        <w:rPr>
          <w:sz w:val="24"/>
          <w:szCs w:val="24"/>
        </w:rPr>
        <w:t xml:space="preserve">, agent d’immigration, </w:t>
      </w:r>
      <w:r w:rsidR="43E3026D" w:rsidRPr="43E3026D">
        <w:rPr>
          <w:i/>
          <w:iCs/>
          <w:sz w:val="24"/>
          <w:szCs w:val="24"/>
        </w:rPr>
        <w:t xml:space="preserve">supra </w:t>
      </w:r>
      <w:r w:rsidR="43E3026D" w:rsidRPr="00F52076">
        <w:rPr>
          <w:sz w:val="24"/>
          <w:szCs w:val="24"/>
        </w:rPr>
        <w:t>note</w:t>
      </w:r>
      <w:r w:rsidR="00F10972">
        <w:rPr>
          <w:sz w:val="24"/>
          <w:szCs w:val="24"/>
        </w:rPr>
        <w:t> </w:t>
      </w:r>
      <w:r w:rsidR="43E3026D" w:rsidRPr="00F52076">
        <w:rPr>
          <w:sz w:val="24"/>
          <w:szCs w:val="24"/>
        </w:rPr>
        <w:t>4 au para</w:t>
      </w:r>
      <w:r w:rsidR="00F10972">
        <w:rPr>
          <w:sz w:val="24"/>
          <w:szCs w:val="24"/>
        </w:rPr>
        <w:t> </w:t>
      </w:r>
      <w:r w:rsidR="43E3026D">
        <w:rPr>
          <w:sz w:val="24"/>
          <w:szCs w:val="24"/>
        </w:rPr>
        <w:t>16.</w:t>
      </w:r>
    </w:p>
  </w:footnote>
  <w:footnote w:id="86">
    <w:p w14:paraId="4CC3C24E" w14:textId="0F760CE0" w:rsidR="000F54F5" w:rsidRPr="000F54F5" w:rsidRDefault="000F54F5" w:rsidP="000F54F5">
      <w:pPr>
        <w:pStyle w:val="FootnoteText"/>
      </w:pPr>
      <w:r w:rsidRPr="7403D796">
        <w:rPr>
          <w:rStyle w:val="FootnoteReference"/>
          <w:rFonts w:eastAsia="Times New Roman"/>
          <w:sz w:val="24"/>
          <w:szCs w:val="24"/>
        </w:rPr>
        <w:footnoteRef/>
      </w:r>
      <w:r w:rsidR="2F76DB4C" w:rsidRPr="7403D796">
        <w:rPr>
          <w:rFonts w:eastAsia="Times New Roman"/>
          <w:sz w:val="24"/>
          <w:szCs w:val="24"/>
        </w:rPr>
        <w:t xml:space="preserve"> </w:t>
      </w:r>
      <w:r w:rsidR="2F76DB4C" w:rsidRPr="000F54F5">
        <w:rPr>
          <w:i/>
          <w:sz w:val="24"/>
          <w:szCs w:val="24"/>
        </w:rPr>
        <w:t>El Werfalli</w:t>
      </w:r>
      <w:r w:rsidR="2F76DB4C" w:rsidRPr="000F54F5">
        <w:rPr>
          <w:sz w:val="24"/>
          <w:szCs w:val="24"/>
        </w:rPr>
        <w:t xml:space="preserve">, </w:t>
      </w:r>
      <w:r w:rsidR="2F76DB4C" w:rsidRPr="2F76DB4C">
        <w:rPr>
          <w:i/>
          <w:iCs/>
          <w:sz w:val="24"/>
          <w:szCs w:val="24"/>
        </w:rPr>
        <w:t xml:space="preserve">supra </w:t>
      </w:r>
      <w:r w:rsidR="2F76DB4C" w:rsidRPr="000F54F5">
        <w:rPr>
          <w:sz w:val="24"/>
          <w:szCs w:val="24"/>
        </w:rPr>
        <w:t>note 70.</w:t>
      </w:r>
    </w:p>
  </w:footnote>
  <w:footnote w:id="87">
    <w:p w14:paraId="255512F8" w14:textId="1A48DE38" w:rsidR="792BE4E6" w:rsidRDefault="792BE4E6" w:rsidP="792BE4E6">
      <w:pPr>
        <w:pStyle w:val="FootnoteText"/>
      </w:pPr>
      <w:r w:rsidRPr="7403D796">
        <w:rPr>
          <w:rStyle w:val="FootnoteReference"/>
          <w:rFonts w:eastAsia="Times New Roman"/>
          <w:sz w:val="24"/>
          <w:szCs w:val="24"/>
        </w:rPr>
        <w:footnoteRef/>
      </w:r>
      <w:r w:rsidR="2F76DB4C" w:rsidRPr="7403D796">
        <w:rPr>
          <w:rFonts w:eastAsia="Times New Roman"/>
          <w:sz w:val="24"/>
          <w:szCs w:val="24"/>
        </w:rPr>
        <w:t xml:space="preserve"> </w:t>
      </w:r>
      <w:r w:rsidR="2F76DB4C" w:rsidRPr="2F76DB4C">
        <w:rPr>
          <w:i/>
          <w:iCs/>
          <w:sz w:val="24"/>
          <w:szCs w:val="24"/>
        </w:rPr>
        <w:t xml:space="preserve">Jalloh, supra </w:t>
      </w:r>
      <w:r w:rsidR="2F76DB4C" w:rsidRPr="00743FB7">
        <w:rPr>
          <w:sz w:val="24"/>
          <w:szCs w:val="24"/>
        </w:rPr>
        <w:t>note 75 au para</w:t>
      </w:r>
      <w:r w:rsidR="00F10972">
        <w:rPr>
          <w:sz w:val="24"/>
          <w:szCs w:val="24"/>
        </w:rPr>
        <w:t> </w:t>
      </w:r>
      <w:r w:rsidR="2F76DB4C" w:rsidRPr="00743FB7">
        <w:rPr>
          <w:sz w:val="24"/>
          <w:szCs w:val="24"/>
        </w:rPr>
        <w:t>10.</w:t>
      </w:r>
    </w:p>
  </w:footnote>
  <w:footnote w:id="88">
    <w:p w14:paraId="779E66C5" w14:textId="56E3C785" w:rsidR="6C7F6067" w:rsidRDefault="6C7F6067" w:rsidP="6C7F6067">
      <w:pPr>
        <w:pStyle w:val="FootnoteText"/>
      </w:pPr>
      <w:r w:rsidRPr="7403D796">
        <w:rPr>
          <w:rStyle w:val="FootnoteReference"/>
          <w:rFonts w:eastAsia="Times New Roman"/>
          <w:sz w:val="24"/>
          <w:szCs w:val="24"/>
        </w:rPr>
        <w:footnoteRef/>
      </w:r>
      <w:r w:rsidR="43E3026D" w:rsidRPr="7403D796">
        <w:rPr>
          <w:rFonts w:eastAsia="Times New Roman"/>
          <w:sz w:val="24"/>
          <w:szCs w:val="24"/>
        </w:rPr>
        <w:t xml:space="preserve"> </w:t>
      </w:r>
      <w:r w:rsidR="43E3026D" w:rsidRPr="43E3026D">
        <w:rPr>
          <w:i/>
          <w:iCs/>
          <w:sz w:val="24"/>
          <w:szCs w:val="24"/>
        </w:rPr>
        <w:t xml:space="preserve">Chowdhury </w:t>
      </w:r>
      <w:r w:rsidR="43E3026D">
        <w:rPr>
          <w:sz w:val="24"/>
          <w:szCs w:val="24"/>
        </w:rPr>
        <w:t>CF</w:t>
      </w:r>
      <w:r w:rsidR="43E3026D" w:rsidRPr="43E3026D">
        <w:rPr>
          <w:i/>
          <w:iCs/>
          <w:sz w:val="24"/>
          <w:szCs w:val="24"/>
        </w:rPr>
        <w:t xml:space="preserve">, supra </w:t>
      </w:r>
      <w:r w:rsidR="43E3026D">
        <w:rPr>
          <w:sz w:val="24"/>
          <w:szCs w:val="24"/>
        </w:rPr>
        <w:t>n</w:t>
      </w:r>
      <w:r w:rsidR="43E3026D" w:rsidRPr="00AE2A29">
        <w:rPr>
          <w:sz w:val="24"/>
          <w:szCs w:val="24"/>
        </w:rPr>
        <w:t>ote</w:t>
      </w:r>
      <w:r w:rsidR="00F10972">
        <w:rPr>
          <w:sz w:val="24"/>
          <w:szCs w:val="24"/>
        </w:rPr>
        <w:t> </w:t>
      </w:r>
      <w:r w:rsidR="43E3026D" w:rsidRPr="00AE2A29">
        <w:rPr>
          <w:sz w:val="24"/>
          <w:szCs w:val="24"/>
        </w:rPr>
        <w:t>13</w:t>
      </w:r>
      <w:r w:rsidR="00883BA8">
        <w:rPr>
          <w:sz w:val="24"/>
          <w:szCs w:val="24"/>
        </w:rPr>
        <w:t xml:space="preserve"> </w:t>
      </w:r>
      <w:r w:rsidR="43E3026D" w:rsidRPr="00AE2A29">
        <w:rPr>
          <w:sz w:val="24"/>
          <w:szCs w:val="24"/>
        </w:rPr>
        <w:t>au para</w:t>
      </w:r>
      <w:r w:rsidR="00F10972">
        <w:rPr>
          <w:sz w:val="24"/>
          <w:szCs w:val="24"/>
        </w:rPr>
        <w:t> </w:t>
      </w:r>
      <w:r w:rsidR="43E3026D">
        <w:rPr>
          <w:sz w:val="24"/>
          <w:szCs w:val="24"/>
        </w:rPr>
        <w:t>6.</w:t>
      </w:r>
    </w:p>
  </w:footnote>
  <w:footnote w:id="89">
    <w:p w14:paraId="7F22D291" w14:textId="142D53EC" w:rsidR="6B4484AB" w:rsidRDefault="6B4484AB" w:rsidP="6B4484AB">
      <w:pPr>
        <w:pStyle w:val="FootnoteText"/>
      </w:pPr>
      <w:r w:rsidRPr="7403D796">
        <w:rPr>
          <w:rStyle w:val="FootnoteReference"/>
          <w:rFonts w:eastAsia="Times New Roman"/>
          <w:sz w:val="24"/>
          <w:szCs w:val="24"/>
        </w:rPr>
        <w:footnoteRef/>
      </w:r>
      <w:r w:rsidR="43E3026D" w:rsidRPr="7403D796">
        <w:rPr>
          <w:rFonts w:eastAsia="Times New Roman"/>
          <w:sz w:val="24"/>
          <w:szCs w:val="24"/>
        </w:rPr>
        <w:t xml:space="preserve"> </w:t>
      </w:r>
      <w:r w:rsidR="43E3026D" w:rsidRPr="002D514C">
        <w:rPr>
          <w:i/>
          <w:sz w:val="24"/>
          <w:szCs w:val="24"/>
        </w:rPr>
        <w:t xml:space="preserve">Ramirez </w:t>
      </w:r>
      <w:r w:rsidR="43E3026D" w:rsidRPr="43E3026D">
        <w:rPr>
          <w:i/>
          <w:iCs/>
          <w:sz w:val="24"/>
          <w:szCs w:val="24"/>
        </w:rPr>
        <w:t>c</w:t>
      </w:r>
      <w:r w:rsidR="43E3026D" w:rsidRPr="00460406">
        <w:rPr>
          <w:sz w:val="24"/>
          <w:szCs w:val="24"/>
        </w:rPr>
        <w:t xml:space="preserve"> </w:t>
      </w:r>
      <w:r w:rsidR="43E3026D" w:rsidRPr="00460406">
        <w:rPr>
          <w:i/>
          <w:sz w:val="24"/>
          <w:szCs w:val="24"/>
        </w:rPr>
        <w:t>Canada (Ministre de l’emploi et de l’immigration</w:t>
      </w:r>
      <w:r w:rsidR="43E3026D" w:rsidRPr="43E3026D">
        <w:rPr>
          <w:i/>
          <w:iCs/>
          <w:sz w:val="24"/>
          <w:szCs w:val="24"/>
        </w:rPr>
        <w:t>),</w:t>
      </w:r>
      <w:r w:rsidR="43E3026D" w:rsidRPr="00460406">
        <w:rPr>
          <w:sz w:val="24"/>
          <w:szCs w:val="24"/>
        </w:rPr>
        <w:t xml:space="preserve"> [1992] 2 C.F.</w:t>
      </w:r>
      <w:r w:rsidR="00E21D8B">
        <w:rPr>
          <w:sz w:val="24"/>
          <w:szCs w:val="24"/>
        </w:rPr>
        <w:t> </w:t>
      </w:r>
      <w:r w:rsidR="43E3026D" w:rsidRPr="00460406">
        <w:rPr>
          <w:sz w:val="24"/>
          <w:szCs w:val="24"/>
        </w:rPr>
        <w:t>306</w:t>
      </w:r>
      <w:r w:rsidR="43E3026D">
        <w:rPr>
          <w:sz w:val="24"/>
          <w:szCs w:val="24"/>
        </w:rPr>
        <w:t>.</w:t>
      </w:r>
    </w:p>
  </w:footnote>
  <w:footnote w:id="90">
    <w:p w14:paraId="2DAEDF88" w14:textId="29499978" w:rsidR="6B4484AB" w:rsidRDefault="6B4484AB" w:rsidP="1B5A969A">
      <w:pPr>
        <w:rPr>
          <w:rStyle w:val="normaltextrun"/>
          <w:color w:val="000000" w:themeColor="text1"/>
        </w:rPr>
      </w:pPr>
      <w:r w:rsidRPr="7403D796">
        <w:rPr>
          <w:rStyle w:val="FootnoteReference"/>
          <w:rFonts w:eastAsia="Times New Roman"/>
        </w:rPr>
        <w:footnoteRef/>
      </w:r>
      <w:r w:rsidR="1B5A969A" w:rsidRPr="7403D796">
        <w:rPr>
          <w:rFonts w:eastAsia="Times New Roman"/>
        </w:rPr>
        <w:t xml:space="preserve"> </w:t>
      </w:r>
      <w:r w:rsidR="1B5A969A" w:rsidRPr="1B5A969A">
        <w:rPr>
          <w:rStyle w:val="normaltextrun"/>
          <w:i/>
          <w:iCs/>
          <w:color w:val="000000" w:themeColor="text1"/>
        </w:rPr>
        <w:t>Poshteh, supra</w:t>
      </w:r>
      <w:r w:rsidR="1B5A969A" w:rsidRPr="4A5243F1">
        <w:rPr>
          <w:rStyle w:val="normaltextrun"/>
          <w:color w:val="000000" w:themeColor="text1"/>
        </w:rPr>
        <w:t xml:space="preserve"> note 6</w:t>
      </w:r>
      <w:r w:rsidR="1B5A969A" w:rsidRPr="1B5A969A">
        <w:rPr>
          <w:rStyle w:val="normaltextrun"/>
          <w:color w:val="000000" w:themeColor="text1"/>
        </w:rPr>
        <w:t>8.</w:t>
      </w:r>
    </w:p>
  </w:footnote>
  <w:footnote w:id="91">
    <w:p w14:paraId="34B6D45A" w14:textId="5B9A6282" w:rsidR="6B4484AB" w:rsidRDefault="6B4484AB" w:rsidP="6B4484AB">
      <w:pPr>
        <w:pStyle w:val="FootnoteText"/>
      </w:pPr>
      <w:r w:rsidRPr="7403D796">
        <w:rPr>
          <w:rStyle w:val="FootnoteReference"/>
          <w:rFonts w:eastAsia="Times New Roman"/>
          <w:sz w:val="24"/>
          <w:szCs w:val="24"/>
        </w:rPr>
        <w:footnoteRef/>
      </w:r>
      <w:r w:rsidR="43E3026D" w:rsidRPr="7403D796">
        <w:rPr>
          <w:rFonts w:eastAsia="Times New Roman"/>
          <w:sz w:val="24"/>
          <w:szCs w:val="24"/>
        </w:rPr>
        <w:t xml:space="preserve"> </w:t>
      </w:r>
      <w:r w:rsidR="43E3026D" w:rsidRPr="002D6828">
        <w:rPr>
          <w:i/>
          <w:sz w:val="24"/>
          <w:szCs w:val="24"/>
        </w:rPr>
        <w:t>Thiyagarajah</w:t>
      </w:r>
      <w:r w:rsidR="43E3026D" w:rsidRPr="43E3026D">
        <w:rPr>
          <w:i/>
          <w:iCs/>
          <w:sz w:val="24"/>
          <w:szCs w:val="24"/>
        </w:rPr>
        <w:t xml:space="preserve"> c </w:t>
      </w:r>
      <w:r w:rsidR="43E3026D" w:rsidRPr="002D6828">
        <w:rPr>
          <w:i/>
          <w:sz w:val="24"/>
          <w:szCs w:val="24"/>
        </w:rPr>
        <w:t>Canada (Ministre de la Citoyenneté et de l</w:t>
      </w:r>
      <w:r w:rsidR="00E21D8B">
        <w:rPr>
          <w:i/>
          <w:sz w:val="24"/>
          <w:szCs w:val="24"/>
        </w:rPr>
        <w:t>’</w:t>
      </w:r>
      <w:r w:rsidR="43E3026D" w:rsidRPr="002D6828">
        <w:rPr>
          <w:i/>
          <w:sz w:val="24"/>
          <w:szCs w:val="24"/>
        </w:rPr>
        <w:t>Immigration)</w:t>
      </w:r>
      <w:r w:rsidR="43E3026D" w:rsidRPr="002D6828">
        <w:rPr>
          <w:sz w:val="24"/>
          <w:szCs w:val="24"/>
        </w:rPr>
        <w:t>,</w:t>
      </w:r>
      <w:r w:rsidR="43E3026D">
        <w:rPr>
          <w:sz w:val="24"/>
          <w:szCs w:val="24"/>
        </w:rPr>
        <w:t xml:space="preserve"> </w:t>
      </w:r>
      <w:r w:rsidR="43E3026D" w:rsidRPr="002D6828">
        <w:rPr>
          <w:sz w:val="24"/>
          <w:szCs w:val="24"/>
        </w:rPr>
        <w:t>[2011] A.C.F.</w:t>
      </w:r>
      <w:r w:rsidR="00E21D8B">
        <w:rPr>
          <w:sz w:val="24"/>
          <w:szCs w:val="24"/>
        </w:rPr>
        <w:t> </w:t>
      </w:r>
      <w:r w:rsidR="43E3026D" w:rsidRPr="002D6828">
        <w:rPr>
          <w:sz w:val="24"/>
          <w:szCs w:val="24"/>
        </w:rPr>
        <w:t>450</w:t>
      </w:r>
      <w:r w:rsidR="43E3026D">
        <w:rPr>
          <w:sz w:val="24"/>
          <w:szCs w:val="24"/>
        </w:rPr>
        <w:t>.</w:t>
      </w:r>
    </w:p>
  </w:footnote>
  <w:footnote w:id="92">
    <w:p w14:paraId="2D6FC3EF" w14:textId="496A14EA" w:rsidR="6C7F6067" w:rsidRPr="00570254" w:rsidRDefault="6C7F6067" w:rsidP="1003DBFD">
      <w:pPr>
        <w:pStyle w:val="FootnoteText"/>
        <w:rPr>
          <w:rFonts w:eastAsia="Times New Roman"/>
          <w:sz w:val="24"/>
          <w:szCs w:val="24"/>
          <w:lang w:val="en-CA"/>
        </w:rPr>
      </w:pPr>
      <w:r w:rsidRPr="7403D796">
        <w:rPr>
          <w:rStyle w:val="FootnoteReference"/>
          <w:rFonts w:eastAsia="Times New Roman"/>
          <w:sz w:val="24"/>
          <w:szCs w:val="24"/>
        </w:rPr>
        <w:footnoteRef/>
      </w:r>
      <w:r w:rsidR="5C95ADDE" w:rsidRPr="00570254">
        <w:rPr>
          <w:rFonts w:eastAsia="Times New Roman"/>
          <w:sz w:val="24"/>
          <w:szCs w:val="24"/>
          <w:lang w:val="en-CA"/>
        </w:rPr>
        <w:t xml:space="preserve"> </w:t>
      </w:r>
      <w:r w:rsidR="5C95ADDE" w:rsidRPr="00570254">
        <w:rPr>
          <w:rFonts w:eastAsia="Times New Roman"/>
          <w:color w:val="000000" w:themeColor="text1"/>
          <w:sz w:val="24"/>
          <w:szCs w:val="24"/>
          <w:lang w:val="en-CA"/>
        </w:rPr>
        <w:t>«</w:t>
      </w:r>
      <w:r w:rsidR="00E21D8B">
        <w:rPr>
          <w:rFonts w:eastAsia="Times New Roman"/>
          <w:color w:val="000000" w:themeColor="text1"/>
          <w:sz w:val="24"/>
          <w:szCs w:val="24"/>
          <w:lang w:val="en-CA"/>
        </w:rPr>
        <w:t> </w:t>
      </w:r>
      <w:r w:rsidR="5C95ADDE" w:rsidRPr="00570254">
        <w:rPr>
          <w:rFonts w:eastAsia="Times New Roman"/>
          <w:color w:val="000000" w:themeColor="text1"/>
          <w:sz w:val="24"/>
          <w:szCs w:val="24"/>
          <w:lang w:val="en-CA"/>
        </w:rPr>
        <w:t>Bangladesh</w:t>
      </w:r>
      <w:r w:rsidR="00E21D8B">
        <w:rPr>
          <w:rFonts w:eastAsia="Times New Roman"/>
          <w:color w:val="000000" w:themeColor="text1"/>
          <w:sz w:val="24"/>
          <w:szCs w:val="24"/>
          <w:lang w:val="en-CA"/>
        </w:rPr>
        <w:t> </w:t>
      </w:r>
      <w:r w:rsidR="5C95ADDE" w:rsidRPr="00570254">
        <w:rPr>
          <w:rFonts w:eastAsia="Times New Roman"/>
          <w:color w:val="000000" w:themeColor="text1"/>
          <w:sz w:val="24"/>
          <w:szCs w:val="24"/>
          <w:lang w:val="en-CA"/>
        </w:rPr>
        <w:t>: Events of</w:t>
      </w:r>
      <w:r w:rsidR="00E21D8B">
        <w:rPr>
          <w:rFonts w:eastAsia="Times New Roman"/>
          <w:color w:val="000000" w:themeColor="text1"/>
          <w:sz w:val="24"/>
          <w:szCs w:val="24"/>
          <w:lang w:val="en-CA"/>
        </w:rPr>
        <w:t> </w:t>
      </w:r>
      <w:r w:rsidR="5C95ADDE" w:rsidRPr="00570254">
        <w:rPr>
          <w:rFonts w:eastAsia="Times New Roman"/>
          <w:color w:val="000000" w:themeColor="text1"/>
          <w:sz w:val="24"/>
          <w:szCs w:val="24"/>
          <w:lang w:val="en-CA"/>
        </w:rPr>
        <w:t>2020</w:t>
      </w:r>
      <w:r w:rsidR="00E21D8B">
        <w:rPr>
          <w:rFonts w:eastAsia="Times New Roman"/>
          <w:color w:val="000000" w:themeColor="text1"/>
          <w:sz w:val="24"/>
          <w:szCs w:val="24"/>
          <w:lang w:val="en-CA"/>
        </w:rPr>
        <w:t> </w:t>
      </w:r>
      <w:r w:rsidR="5C95ADDE" w:rsidRPr="00570254">
        <w:rPr>
          <w:rFonts w:eastAsia="Times New Roman"/>
          <w:color w:val="000000" w:themeColor="text1"/>
          <w:sz w:val="24"/>
          <w:szCs w:val="24"/>
          <w:lang w:val="en-CA"/>
        </w:rPr>
        <w:t xml:space="preserve">», </w:t>
      </w:r>
      <w:r w:rsidR="5C95ADDE" w:rsidRPr="00570254">
        <w:rPr>
          <w:rFonts w:eastAsia="Times New Roman"/>
          <w:i/>
          <w:iCs/>
          <w:color w:val="000000" w:themeColor="text1"/>
          <w:sz w:val="24"/>
          <w:szCs w:val="24"/>
          <w:lang w:val="en-CA"/>
        </w:rPr>
        <w:t>Human Rights Watch</w:t>
      </w:r>
      <w:r w:rsidR="5C95ADDE" w:rsidRPr="00570254">
        <w:rPr>
          <w:rFonts w:eastAsia="Times New Roman"/>
          <w:color w:val="000000" w:themeColor="text1"/>
          <w:sz w:val="24"/>
          <w:szCs w:val="24"/>
          <w:lang w:val="en-CA"/>
        </w:rPr>
        <w:t>, en ligne</w:t>
      </w:r>
      <w:r w:rsidR="00E21D8B">
        <w:rPr>
          <w:rFonts w:eastAsia="Times New Roman"/>
          <w:color w:val="000000" w:themeColor="text1"/>
          <w:sz w:val="24"/>
          <w:szCs w:val="24"/>
          <w:lang w:val="en-CA"/>
        </w:rPr>
        <w:t> </w:t>
      </w:r>
      <w:r w:rsidR="5C95ADDE" w:rsidRPr="00570254">
        <w:rPr>
          <w:rFonts w:eastAsia="Times New Roman"/>
          <w:color w:val="000000" w:themeColor="text1"/>
          <w:sz w:val="24"/>
          <w:szCs w:val="24"/>
          <w:lang w:val="en-CA"/>
        </w:rPr>
        <w:t>: &lt;https://www.hrw.org/world-report/2021/country-chapters/bangladesh&gt;</w:t>
      </w:r>
    </w:p>
  </w:footnote>
  <w:footnote w:id="93">
    <w:p w14:paraId="32FA6DB6" w14:textId="6CECE130" w:rsidR="00195ABC" w:rsidRPr="00195ABC" w:rsidRDefault="00195ABC">
      <w:pPr>
        <w:pStyle w:val="FootnoteText"/>
      </w:pPr>
      <w:r w:rsidRPr="7403D796">
        <w:rPr>
          <w:rStyle w:val="FootnoteReference"/>
          <w:rFonts w:eastAsia="Times New Roman"/>
          <w:sz w:val="24"/>
          <w:szCs w:val="24"/>
        </w:rPr>
        <w:footnoteRef/>
      </w:r>
      <w:r w:rsidR="030EC149" w:rsidRPr="7403D796">
        <w:rPr>
          <w:rFonts w:eastAsia="Times New Roman"/>
          <w:sz w:val="24"/>
          <w:szCs w:val="24"/>
        </w:rPr>
        <w:t xml:space="preserve"> </w:t>
      </w:r>
      <w:r w:rsidR="030EC149" w:rsidRPr="030EC149">
        <w:rPr>
          <w:i/>
          <w:iCs/>
          <w:sz w:val="24"/>
          <w:szCs w:val="24"/>
        </w:rPr>
        <w:t xml:space="preserve">Najafi, supra </w:t>
      </w:r>
      <w:r w:rsidR="030EC149" w:rsidRPr="000200B7">
        <w:rPr>
          <w:sz w:val="24"/>
          <w:szCs w:val="24"/>
        </w:rPr>
        <w:t>note 21 au para</w:t>
      </w:r>
      <w:r w:rsidR="00AE735A">
        <w:rPr>
          <w:sz w:val="24"/>
          <w:szCs w:val="24"/>
        </w:rPr>
        <w:t> </w:t>
      </w:r>
      <w:r w:rsidR="030EC149" w:rsidRPr="000200B7">
        <w:rPr>
          <w:sz w:val="24"/>
          <w:szCs w:val="24"/>
        </w:rPr>
        <w:t>81.</w:t>
      </w:r>
    </w:p>
  </w:footnote>
  <w:footnote w:id="94">
    <w:p w14:paraId="0E64E3FE" w14:textId="16AA701C" w:rsidR="009B61E0" w:rsidRPr="005450D3" w:rsidRDefault="009B61E0">
      <w:pPr>
        <w:pStyle w:val="FootnoteText"/>
        <w:rPr>
          <w:b/>
          <w:bCs/>
          <w:sz w:val="24"/>
          <w:szCs w:val="24"/>
        </w:rPr>
      </w:pPr>
      <w:r w:rsidRPr="005450D3">
        <w:rPr>
          <w:rStyle w:val="FootnoteReference"/>
          <w:sz w:val="24"/>
          <w:szCs w:val="24"/>
        </w:rPr>
        <w:footnoteRef/>
      </w:r>
      <w:r w:rsidR="030EC149" w:rsidRPr="005450D3">
        <w:rPr>
          <w:sz w:val="24"/>
          <w:szCs w:val="24"/>
        </w:rPr>
        <w:t xml:space="preserve"> </w:t>
      </w:r>
      <w:r w:rsidR="030EC149" w:rsidRPr="030EC149">
        <w:rPr>
          <w:i/>
          <w:iCs/>
          <w:sz w:val="24"/>
          <w:szCs w:val="24"/>
        </w:rPr>
        <w:t>B006 c</w:t>
      </w:r>
      <w:r w:rsidR="030EC149" w:rsidRPr="005450D3">
        <w:rPr>
          <w:sz w:val="24"/>
          <w:szCs w:val="24"/>
        </w:rPr>
        <w:t xml:space="preserve"> </w:t>
      </w:r>
      <w:r w:rsidR="030EC149" w:rsidRPr="030EC149">
        <w:rPr>
          <w:i/>
          <w:iCs/>
          <w:sz w:val="24"/>
          <w:szCs w:val="24"/>
        </w:rPr>
        <w:t>Canada (Citoyenneté et Immigration),</w:t>
      </w:r>
      <w:r w:rsidR="030EC149" w:rsidRPr="005450D3">
        <w:rPr>
          <w:sz w:val="24"/>
          <w:szCs w:val="24"/>
        </w:rPr>
        <w:t xml:space="preserve"> 2013 CF 1033 au para</w:t>
      </w:r>
      <w:r w:rsidR="00AE735A">
        <w:rPr>
          <w:sz w:val="24"/>
          <w:szCs w:val="24"/>
        </w:rPr>
        <w:t> </w:t>
      </w:r>
      <w:r w:rsidR="030EC149" w:rsidRPr="005450D3">
        <w:rPr>
          <w:sz w:val="24"/>
          <w:szCs w:val="24"/>
        </w:rPr>
        <w:t>103.</w:t>
      </w:r>
    </w:p>
  </w:footnote>
  <w:footnote w:id="95">
    <w:p w14:paraId="7F0A87C9" w14:textId="2175A23D" w:rsidR="0042692B" w:rsidRPr="005450D3" w:rsidRDefault="00F94149" w:rsidP="0042692B">
      <w:pPr>
        <w:pStyle w:val="FootnoteText"/>
        <w:rPr>
          <w:sz w:val="24"/>
          <w:szCs w:val="24"/>
        </w:rPr>
      </w:pPr>
      <w:r w:rsidRPr="005450D3">
        <w:rPr>
          <w:rStyle w:val="FootnoteReference"/>
          <w:sz w:val="24"/>
          <w:szCs w:val="24"/>
        </w:rPr>
        <w:footnoteRef/>
      </w:r>
      <w:r w:rsidR="2F76DB4C" w:rsidRPr="005450D3">
        <w:rPr>
          <w:sz w:val="24"/>
          <w:szCs w:val="24"/>
        </w:rPr>
        <w:t xml:space="preserve"> </w:t>
      </w:r>
      <w:r w:rsidR="2F76DB4C" w:rsidRPr="2F76DB4C">
        <w:rPr>
          <w:i/>
          <w:iCs/>
          <w:sz w:val="24"/>
          <w:szCs w:val="24"/>
        </w:rPr>
        <w:t>Canada (</w:t>
      </w:r>
      <w:r w:rsidR="00AE735A">
        <w:rPr>
          <w:i/>
          <w:iCs/>
          <w:sz w:val="24"/>
          <w:szCs w:val="24"/>
        </w:rPr>
        <w:t>m</w:t>
      </w:r>
      <w:r w:rsidR="2F76DB4C" w:rsidRPr="2F76DB4C">
        <w:rPr>
          <w:i/>
          <w:iCs/>
          <w:sz w:val="24"/>
          <w:szCs w:val="24"/>
        </w:rPr>
        <w:t>inistre de la Sécurité publique et de la Protection civile) c</w:t>
      </w:r>
      <w:r w:rsidR="2F76DB4C" w:rsidRPr="005450D3">
        <w:rPr>
          <w:sz w:val="24"/>
          <w:szCs w:val="24"/>
        </w:rPr>
        <w:t xml:space="preserve"> </w:t>
      </w:r>
      <w:r w:rsidR="2F76DB4C" w:rsidRPr="2F76DB4C">
        <w:rPr>
          <w:i/>
          <w:iCs/>
          <w:sz w:val="24"/>
          <w:szCs w:val="24"/>
        </w:rPr>
        <w:t>Lopez Gaytan</w:t>
      </w:r>
      <w:r w:rsidR="2F76DB4C" w:rsidRPr="005450D3">
        <w:rPr>
          <w:sz w:val="24"/>
          <w:szCs w:val="24"/>
        </w:rPr>
        <w:t>, 2019 CF 1152, aux para</w:t>
      </w:r>
      <w:r w:rsidR="00AE735A">
        <w:rPr>
          <w:sz w:val="24"/>
          <w:szCs w:val="24"/>
        </w:rPr>
        <w:t> </w:t>
      </w:r>
      <w:r w:rsidR="2F76DB4C" w:rsidRPr="005450D3">
        <w:rPr>
          <w:sz w:val="24"/>
          <w:szCs w:val="24"/>
        </w:rPr>
        <w:t>19 et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E268" w14:textId="77777777" w:rsidR="00570254" w:rsidRDefault="00570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88781"/>
      <w:docPartObj>
        <w:docPartGallery w:val="Page Numbers (Top of Page)"/>
        <w:docPartUnique/>
      </w:docPartObj>
    </w:sdtPr>
    <w:sdtContent>
      <w:p w14:paraId="72B31242" w14:textId="04C45EA4" w:rsidR="00F52076" w:rsidRDefault="00F52076">
        <w:pPr>
          <w:pStyle w:val="Header"/>
          <w:jc w:val="right"/>
        </w:pPr>
        <w:r>
          <w:fldChar w:fldCharType="begin"/>
        </w:r>
        <w:r>
          <w:instrText>PAGE   \* MERGEFORMAT</w:instrText>
        </w:r>
        <w:r>
          <w:fldChar w:fldCharType="separate"/>
        </w:r>
        <w:r>
          <w:rPr>
            <w:lang w:val="fr-FR"/>
          </w:rPr>
          <w:t>2</w:t>
        </w:r>
        <w:r>
          <w:fldChar w:fldCharType="end"/>
        </w:r>
      </w:p>
    </w:sdtContent>
  </w:sdt>
  <w:p w14:paraId="4237BA3D" w14:textId="10D0A956" w:rsidR="05F562DF" w:rsidRDefault="05F562DF" w:rsidP="05F562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2BC110" w14:paraId="303AE91C" w14:textId="77777777" w:rsidTr="6A2BC110">
      <w:tc>
        <w:tcPr>
          <w:tcW w:w="3120" w:type="dxa"/>
        </w:tcPr>
        <w:p w14:paraId="67124C0B" w14:textId="4FECF531" w:rsidR="6A2BC110" w:rsidRDefault="6A2BC110" w:rsidP="6A2BC110">
          <w:pPr>
            <w:pStyle w:val="Header"/>
            <w:ind w:left="-115"/>
          </w:pPr>
        </w:p>
      </w:tc>
      <w:tc>
        <w:tcPr>
          <w:tcW w:w="3120" w:type="dxa"/>
        </w:tcPr>
        <w:p w14:paraId="485879F6" w14:textId="38F45C1C" w:rsidR="6A2BC110" w:rsidRDefault="6A2BC110" w:rsidP="6A2BC110">
          <w:pPr>
            <w:pStyle w:val="Header"/>
            <w:jc w:val="center"/>
          </w:pPr>
        </w:p>
      </w:tc>
      <w:tc>
        <w:tcPr>
          <w:tcW w:w="3120" w:type="dxa"/>
        </w:tcPr>
        <w:p w14:paraId="7B8A9C2F" w14:textId="7A0E14AA" w:rsidR="6A2BC110" w:rsidRDefault="6A2BC110" w:rsidP="6A2BC110">
          <w:pPr>
            <w:pStyle w:val="Header"/>
            <w:ind w:right="-115"/>
            <w:jc w:val="right"/>
          </w:pPr>
        </w:p>
      </w:tc>
    </w:tr>
  </w:tbl>
  <w:p w14:paraId="63B3E7B5" w14:textId="243E0409" w:rsidR="005C3193" w:rsidRDefault="005C3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93A"/>
    <w:multiLevelType w:val="multilevel"/>
    <w:tmpl w:val="5D08613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i w:val="0"/>
        <w:i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F2C2CD9"/>
    <w:multiLevelType w:val="hybridMultilevel"/>
    <w:tmpl w:val="1E40E46A"/>
    <w:lvl w:ilvl="0" w:tplc="FFFFFFFF">
      <w:start w:val="1"/>
      <w:numFmt w:val="decimal"/>
      <w:lvlText w:val="[%1]"/>
      <w:lvlJc w:val="righ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6296AA9"/>
    <w:multiLevelType w:val="hybridMultilevel"/>
    <w:tmpl w:val="2290446A"/>
    <w:lvl w:ilvl="0" w:tplc="F6E67D8C">
      <w:start w:val="1"/>
      <w:numFmt w:val="lowerLetter"/>
      <w:lvlText w:val="%1."/>
      <w:lvlJc w:val="left"/>
      <w:pPr>
        <w:ind w:left="1800" w:hanging="360"/>
      </w:pPr>
    </w:lvl>
    <w:lvl w:ilvl="1" w:tplc="02889A76">
      <w:start w:val="1"/>
      <w:numFmt w:val="lowerLetter"/>
      <w:lvlText w:val="%2."/>
      <w:lvlJc w:val="left"/>
      <w:pPr>
        <w:ind w:left="2520" w:hanging="360"/>
      </w:pPr>
    </w:lvl>
    <w:lvl w:ilvl="2" w:tplc="38BCDC7A">
      <w:start w:val="1"/>
      <w:numFmt w:val="lowerRoman"/>
      <w:lvlText w:val="%3."/>
      <w:lvlJc w:val="right"/>
      <w:pPr>
        <w:ind w:left="3240" w:hanging="180"/>
      </w:pPr>
    </w:lvl>
    <w:lvl w:ilvl="3" w:tplc="CD0AA9B0">
      <w:start w:val="1"/>
      <w:numFmt w:val="decimal"/>
      <w:lvlText w:val="%4."/>
      <w:lvlJc w:val="left"/>
      <w:pPr>
        <w:ind w:left="3960" w:hanging="360"/>
      </w:pPr>
    </w:lvl>
    <w:lvl w:ilvl="4" w:tplc="59ACB2FC">
      <w:start w:val="1"/>
      <w:numFmt w:val="lowerLetter"/>
      <w:lvlText w:val="%5."/>
      <w:lvlJc w:val="left"/>
      <w:pPr>
        <w:ind w:left="4680" w:hanging="360"/>
      </w:pPr>
    </w:lvl>
    <w:lvl w:ilvl="5" w:tplc="1BC0D876">
      <w:start w:val="1"/>
      <w:numFmt w:val="lowerRoman"/>
      <w:lvlText w:val="%6."/>
      <w:lvlJc w:val="right"/>
      <w:pPr>
        <w:ind w:left="5400" w:hanging="180"/>
      </w:pPr>
    </w:lvl>
    <w:lvl w:ilvl="6" w:tplc="CCA205AA">
      <w:start w:val="1"/>
      <w:numFmt w:val="decimal"/>
      <w:lvlText w:val="%7."/>
      <w:lvlJc w:val="left"/>
      <w:pPr>
        <w:ind w:left="6120" w:hanging="360"/>
      </w:pPr>
    </w:lvl>
    <w:lvl w:ilvl="7" w:tplc="8BBE5F76">
      <w:start w:val="1"/>
      <w:numFmt w:val="lowerLetter"/>
      <w:lvlText w:val="%8."/>
      <w:lvlJc w:val="left"/>
      <w:pPr>
        <w:ind w:left="6840" w:hanging="360"/>
      </w:pPr>
    </w:lvl>
    <w:lvl w:ilvl="8" w:tplc="CCF67DBE">
      <w:start w:val="1"/>
      <w:numFmt w:val="lowerRoman"/>
      <w:lvlText w:val="%9."/>
      <w:lvlJc w:val="right"/>
      <w:pPr>
        <w:ind w:left="7560" w:hanging="180"/>
      </w:pPr>
    </w:lvl>
  </w:abstractNum>
  <w:abstractNum w:abstractNumId="3" w15:restartNumberingAfterBreak="0">
    <w:nsid w:val="17485253"/>
    <w:multiLevelType w:val="hybridMultilevel"/>
    <w:tmpl w:val="E3BC3BBE"/>
    <w:lvl w:ilvl="0" w:tplc="90220384">
      <w:start w:val="1"/>
      <w:numFmt w:val="bullet"/>
      <w:lvlText w:val="-"/>
      <w:lvlJc w:val="left"/>
      <w:pPr>
        <w:ind w:left="720" w:hanging="360"/>
      </w:pPr>
      <w:rPr>
        <w:u w:val="none"/>
      </w:rPr>
    </w:lvl>
    <w:lvl w:ilvl="1" w:tplc="4D343D10">
      <w:start w:val="1"/>
      <w:numFmt w:val="bullet"/>
      <w:lvlText w:val="-"/>
      <w:lvlJc w:val="left"/>
      <w:pPr>
        <w:ind w:left="1440" w:hanging="360"/>
      </w:pPr>
      <w:rPr>
        <w:u w:val="none"/>
      </w:rPr>
    </w:lvl>
    <w:lvl w:ilvl="2" w:tplc="11AEC752">
      <w:start w:val="1"/>
      <w:numFmt w:val="bullet"/>
      <w:lvlText w:val="-"/>
      <w:lvlJc w:val="left"/>
      <w:pPr>
        <w:ind w:left="2160" w:hanging="360"/>
      </w:pPr>
      <w:rPr>
        <w:u w:val="none"/>
      </w:rPr>
    </w:lvl>
    <w:lvl w:ilvl="3" w:tplc="23EC68B8">
      <w:start w:val="1"/>
      <w:numFmt w:val="bullet"/>
      <w:lvlText w:val="-"/>
      <w:lvlJc w:val="left"/>
      <w:pPr>
        <w:ind w:left="2880" w:hanging="360"/>
      </w:pPr>
      <w:rPr>
        <w:u w:val="none"/>
      </w:rPr>
    </w:lvl>
    <w:lvl w:ilvl="4" w:tplc="F0ACBE84">
      <w:start w:val="1"/>
      <w:numFmt w:val="bullet"/>
      <w:lvlText w:val="-"/>
      <w:lvlJc w:val="left"/>
      <w:pPr>
        <w:ind w:left="3600" w:hanging="360"/>
      </w:pPr>
      <w:rPr>
        <w:u w:val="none"/>
      </w:rPr>
    </w:lvl>
    <w:lvl w:ilvl="5" w:tplc="60D6640A">
      <w:start w:val="1"/>
      <w:numFmt w:val="bullet"/>
      <w:lvlText w:val="-"/>
      <w:lvlJc w:val="left"/>
      <w:pPr>
        <w:ind w:left="4320" w:hanging="360"/>
      </w:pPr>
      <w:rPr>
        <w:u w:val="none"/>
      </w:rPr>
    </w:lvl>
    <w:lvl w:ilvl="6" w:tplc="7066862E">
      <w:start w:val="1"/>
      <w:numFmt w:val="bullet"/>
      <w:lvlText w:val="-"/>
      <w:lvlJc w:val="left"/>
      <w:pPr>
        <w:ind w:left="5040" w:hanging="360"/>
      </w:pPr>
      <w:rPr>
        <w:u w:val="none"/>
      </w:rPr>
    </w:lvl>
    <w:lvl w:ilvl="7" w:tplc="1D42B470">
      <w:start w:val="1"/>
      <w:numFmt w:val="bullet"/>
      <w:lvlText w:val="-"/>
      <w:lvlJc w:val="left"/>
      <w:pPr>
        <w:ind w:left="5760" w:hanging="360"/>
      </w:pPr>
      <w:rPr>
        <w:u w:val="none"/>
      </w:rPr>
    </w:lvl>
    <w:lvl w:ilvl="8" w:tplc="D12C0EF2">
      <w:start w:val="1"/>
      <w:numFmt w:val="bullet"/>
      <w:lvlText w:val="-"/>
      <w:lvlJc w:val="left"/>
      <w:pPr>
        <w:ind w:left="6480" w:hanging="360"/>
      </w:pPr>
      <w:rPr>
        <w:u w:val="none"/>
      </w:rPr>
    </w:lvl>
  </w:abstractNum>
  <w:abstractNum w:abstractNumId="4" w15:restartNumberingAfterBreak="0">
    <w:nsid w:val="21E8681C"/>
    <w:multiLevelType w:val="hybridMultilevel"/>
    <w:tmpl w:val="FFFFFFFF"/>
    <w:lvl w:ilvl="0" w:tplc="9AC86A64">
      <w:start w:val="1"/>
      <w:numFmt w:val="lowerLetter"/>
      <w:lvlText w:val="%1."/>
      <w:lvlJc w:val="left"/>
      <w:pPr>
        <w:ind w:left="1800" w:hanging="360"/>
      </w:pPr>
    </w:lvl>
    <w:lvl w:ilvl="1" w:tplc="13EC9E08">
      <w:start w:val="1"/>
      <w:numFmt w:val="lowerLetter"/>
      <w:lvlText w:val="%2."/>
      <w:lvlJc w:val="left"/>
      <w:pPr>
        <w:ind w:left="2520" w:hanging="360"/>
      </w:pPr>
    </w:lvl>
    <w:lvl w:ilvl="2" w:tplc="23CEE682">
      <w:start w:val="1"/>
      <w:numFmt w:val="lowerRoman"/>
      <w:lvlText w:val="%3."/>
      <w:lvlJc w:val="right"/>
      <w:pPr>
        <w:ind w:left="3240" w:hanging="180"/>
      </w:pPr>
    </w:lvl>
    <w:lvl w:ilvl="3" w:tplc="87344FF4">
      <w:start w:val="1"/>
      <w:numFmt w:val="decimal"/>
      <w:lvlText w:val="%4."/>
      <w:lvlJc w:val="left"/>
      <w:pPr>
        <w:ind w:left="3960" w:hanging="360"/>
      </w:pPr>
    </w:lvl>
    <w:lvl w:ilvl="4" w:tplc="A42466DC">
      <w:start w:val="1"/>
      <w:numFmt w:val="lowerLetter"/>
      <w:lvlText w:val="%5."/>
      <w:lvlJc w:val="left"/>
      <w:pPr>
        <w:ind w:left="4680" w:hanging="360"/>
      </w:pPr>
    </w:lvl>
    <w:lvl w:ilvl="5" w:tplc="630C3816">
      <w:start w:val="1"/>
      <w:numFmt w:val="lowerRoman"/>
      <w:lvlText w:val="%6."/>
      <w:lvlJc w:val="right"/>
      <w:pPr>
        <w:ind w:left="5400" w:hanging="180"/>
      </w:pPr>
    </w:lvl>
    <w:lvl w:ilvl="6" w:tplc="1248C55A">
      <w:start w:val="1"/>
      <w:numFmt w:val="decimal"/>
      <w:lvlText w:val="%7."/>
      <w:lvlJc w:val="left"/>
      <w:pPr>
        <w:ind w:left="6120" w:hanging="360"/>
      </w:pPr>
    </w:lvl>
    <w:lvl w:ilvl="7" w:tplc="BAB66ED2">
      <w:start w:val="1"/>
      <w:numFmt w:val="lowerLetter"/>
      <w:lvlText w:val="%8."/>
      <w:lvlJc w:val="left"/>
      <w:pPr>
        <w:ind w:left="6840" w:hanging="360"/>
      </w:pPr>
    </w:lvl>
    <w:lvl w:ilvl="8" w:tplc="C624F63A">
      <w:start w:val="1"/>
      <w:numFmt w:val="lowerRoman"/>
      <w:lvlText w:val="%9."/>
      <w:lvlJc w:val="right"/>
      <w:pPr>
        <w:ind w:left="7560" w:hanging="180"/>
      </w:pPr>
    </w:lvl>
  </w:abstractNum>
  <w:abstractNum w:abstractNumId="5" w15:restartNumberingAfterBreak="0">
    <w:nsid w:val="299B61A3"/>
    <w:multiLevelType w:val="hybridMultilevel"/>
    <w:tmpl w:val="FFFFFFFF"/>
    <w:lvl w:ilvl="0" w:tplc="CB9A9088">
      <w:start w:val="1"/>
      <w:numFmt w:val="lowerLetter"/>
      <w:lvlText w:val="%1."/>
      <w:lvlJc w:val="left"/>
      <w:pPr>
        <w:ind w:left="1800" w:hanging="360"/>
      </w:pPr>
    </w:lvl>
    <w:lvl w:ilvl="1" w:tplc="2AA21690">
      <w:start w:val="1"/>
      <w:numFmt w:val="lowerLetter"/>
      <w:lvlText w:val="%2."/>
      <w:lvlJc w:val="left"/>
      <w:pPr>
        <w:ind w:left="2520" w:hanging="360"/>
      </w:pPr>
    </w:lvl>
    <w:lvl w:ilvl="2" w:tplc="031E173E">
      <w:start w:val="1"/>
      <w:numFmt w:val="lowerRoman"/>
      <w:lvlText w:val="%3."/>
      <w:lvlJc w:val="right"/>
      <w:pPr>
        <w:ind w:left="3240" w:hanging="180"/>
      </w:pPr>
    </w:lvl>
    <w:lvl w:ilvl="3" w:tplc="FB9072E2">
      <w:start w:val="1"/>
      <w:numFmt w:val="decimal"/>
      <w:lvlText w:val="%4."/>
      <w:lvlJc w:val="left"/>
      <w:pPr>
        <w:ind w:left="3960" w:hanging="360"/>
      </w:pPr>
    </w:lvl>
    <w:lvl w:ilvl="4" w:tplc="EC029962">
      <w:start w:val="1"/>
      <w:numFmt w:val="lowerLetter"/>
      <w:lvlText w:val="%5."/>
      <w:lvlJc w:val="left"/>
      <w:pPr>
        <w:ind w:left="4680" w:hanging="360"/>
      </w:pPr>
    </w:lvl>
    <w:lvl w:ilvl="5" w:tplc="D7A4622E">
      <w:start w:val="1"/>
      <w:numFmt w:val="lowerRoman"/>
      <w:lvlText w:val="%6."/>
      <w:lvlJc w:val="right"/>
      <w:pPr>
        <w:ind w:left="5400" w:hanging="180"/>
      </w:pPr>
    </w:lvl>
    <w:lvl w:ilvl="6" w:tplc="1C542096">
      <w:start w:val="1"/>
      <w:numFmt w:val="decimal"/>
      <w:lvlText w:val="%7."/>
      <w:lvlJc w:val="left"/>
      <w:pPr>
        <w:ind w:left="6120" w:hanging="360"/>
      </w:pPr>
    </w:lvl>
    <w:lvl w:ilvl="7" w:tplc="8C1A5426">
      <w:start w:val="1"/>
      <w:numFmt w:val="lowerLetter"/>
      <w:lvlText w:val="%8."/>
      <w:lvlJc w:val="left"/>
      <w:pPr>
        <w:ind w:left="6840" w:hanging="360"/>
      </w:pPr>
    </w:lvl>
    <w:lvl w:ilvl="8" w:tplc="AEE86A8A">
      <w:start w:val="1"/>
      <w:numFmt w:val="lowerRoman"/>
      <w:lvlText w:val="%9."/>
      <w:lvlJc w:val="right"/>
      <w:pPr>
        <w:ind w:left="7560" w:hanging="180"/>
      </w:pPr>
    </w:lvl>
  </w:abstractNum>
  <w:abstractNum w:abstractNumId="6" w15:restartNumberingAfterBreak="0">
    <w:nsid w:val="2A571324"/>
    <w:multiLevelType w:val="hybridMultilevel"/>
    <w:tmpl w:val="FFFFFFFF"/>
    <w:lvl w:ilvl="0" w:tplc="DC649DCA">
      <w:start w:val="1"/>
      <w:numFmt w:val="decimal"/>
      <w:lvlText w:val="%1."/>
      <w:lvlJc w:val="left"/>
      <w:pPr>
        <w:ind w:left="720" w:hanging="360"/>
      </w:pPr>
    </w:lvl>
    <w:lvl w:ilvl="1" w:tplc="D4D21C46">
      <w:start w:val="1"/>
      <w:numFmt w:val="lowerLetter"/>
      <w:lvlText w:val="%2."/>
      <w:lvlJc w:val="left"/>
      <w:pPr>
        <w:ind w:left="1440" w:hanging="360"/>
      </w:pPr>
    </w:lvl>
    <w:lvl w:ilvl="2" w:tplc="31B40DBE">
      <w:start w:val="1"/>
      <w:numFmt w:val="lowerLetter"/>
      <w:lvlText w:val="%3."/>
      <w:lvlJc w:val="left"/>
      <w:pPr>
        <w:ind w:left="2160" w:hanging="180"/>
      </w:pPr>
    </w:lvl>
    <w:lvl w:ilvl="3" w:tplc="77EE5F6C">
      <w:start w:val="1"/>
      <w:numFmt w:val="decimal"/>
      <w:lvlText w:val="%4."/>
      <w:lvlJc w:val="left"/>
      <w:pPr>
        <w:ind w:left="2880" w:hanging="360"/>
      </w:pPr>
    </w:lvl>
    <w:lvl w:ilvl="4" w:tplc="40627352">
      <w:start w:val="1"/>
      <w:numFmt w:val="lowerLetter"/>
      <w:lvlText w:val="%5."/>
      <w:lvlJc w:val="left"/>
      <w:pPr>
        <w:ind w:left="3600" w:hanging="360"/>
      </w:pPr>
    </w:lvl>
    <w:lvl w:ilvl="5" w:tplc="B240EEF6">
      <w:start w:val="1"/>
      <w:numFmt w:val="lowerRoman"/>
      <w:lvlText w:val="%6."/>
      <w:lvlJc w:val="right"/>
      <w:pPr>
        <w:ind w:left="4320" w:hanging="180"/>
      </w:pPr>
    </w:lvl>
    <w:lvl w:ilvl="6" w:tplc="FFF2A9BC">
      <w:start w:val="1"/>
      <w:numFmt w:val="decimal"/>
      <w:lvlText w:val="%7."/>
      <w:lvlJc w:val="left"/>
      <w:pPr>
        <w:ind w:left="5040" w:hanging="360"/>
      </w:pPr>
    </w:lvl>
    <w:lvl w:ilvl="7" w:tplc="FF4A4E34">
      <w:start w:val="1"/>
      <w:numFmt w:val="lowerLetter"/>
      <w:lvlText w:val="%8."/>
      <w:lvlJc w:val="left"/>
      <w:pPr>
        <w:ind w:left="5760" w:hanging="360"/>
      </w:pPr>
    </w:lvl>
    <w:lvl w:ilvl="8" w:tplc="8E7006EA">
      <w:start w:val="1"/>
      <w:numFmt w:val="lowerRoman"/>
      <w:lvlText w:val="%9."/>
      <w:lvlJc w:val="right"/>
      <w:pPr>
        <w:ind w:left="6480" w:hanging="180"/>
      </w:pPr>
    </w:lvl>
  </w:abstractNum>
  <w:abstractNum w:abstractNumId="7" w15:restartNumberingAfterBreak="0">
    <w:nsid w:val="2C950A43"/>
    <w:multiLevelType w:val="hybridMultilevel"/>
    <w:tmpl w:val="C4C09B8E"/>
    <w:lvl w:ilvl="0" w:tplc="3744B98E">
      <w:start w:val="1"/>
      <w:numFmt w:val="decimal"/>
      <w:lvlText w:val="%1."/>
      <w:lvlJc w:val="left"/>
      <w:pPr>
        <w:ind w:left="720" w:hanging="360"/>
      </w:pPr>
    </w:lvl>
    <w:lvl w:ilvl="1" w:tplc="EB20BDD8">
      <w:start w:val="1"/>
      <w:numFmt w:val="lowerRoman"/>
      <w:lvlText w:val="%2."/>
      <w:lvlJc w:val="left"/>
      <w:pPr>
        <w:ind w:left="1440" w:hanging="360"/>
      </w:pPr>
    </w:lvl>
    <w:lvl w:ilvl="2" w:tplc="7B2A83EC">
      <w:start w:val="1"/>
      <w:numFmt w:val="lowerRoman"/>
      <w:lvlText w:val="%3."/>
      <w:lvlJc w:val="right"/>
      <w:pPr>
        <w:ind w:left="2160" w:hanging="180"/>
      </w:pPr>
    </w:lvl>
    <w:lvl w:ilvl="3" w:tplc="9CD4EE46">
      <w:start w:val="1"/>
      <w:numFmt w:val="decimal"/>
      <w:lvlText w:val="%4."/>
      <w:lvlJc w:val="left"/>
      <w:pPr>
        <w:ind w:left="2880" w:hanging="360"/>
      </w:pPr>
    </w:lvl>
    <w:lvl w:ilvl="4" w:tplc="8A8801A8">
      <w:start w:val="1"/>
      <w:numFmt w:val="lowerLetter"/>
      <w:lvlText w:val="%5."/>
      <w:lvlJc w:val="left"/>
      <w:pPr>
        <w:ind w:left="3600" w:hanging="360"/>
      </w:pPr>
    </w:lvl>
    <w:lvl w:ilvl="5" w:tplc="C29A3664">
      <w:start w:val="1"/>
      <w:numFmt w:val="lowerRoman"/>
      <w:lvlText w:val="%6."/>
      <w:lvlJc w:val="right"/>
      <w:pPr>
        <w:ind w:left="4320" w:hanging="180"/>
      </w:pPr>
    </w:lvl>
    <w:lvl w:ilvl="6" w:tplc="0A0CECE0">
      <w:start w:val="1"/>
      <w:numFmt w:val="decimal"/>
      <w:lvlText w:val="%7."/>
      <w:lvlJc w:val="left"/>
      <w:pPr>
        <w:ind w:left="5040" w:hanging="360"/>
      </w:pPr>
    </w:lvl>
    <w:lvl w:ilvl="7" w:tplc="F7F4D76E">
      <w:start w:val="1"/>
      <w:numFmt w:val="lowerLetter"/>
      <w:lvlText w:val="%8."/>
      <w:lvlJc w:val="left"/>
      <w:pPr>
        <w:ind w:left="5760" w:hanging="360"/>
      </w:pPr>
    </w:lvl>
    <w:lvl w:ilvl="8" w:tplc="326E0B56">
      <w:start w:val="1"/>
      <w:numFmt w:val="lowerRoman"/>
      <w:lvlText w:val="%9."/>
      <w:lvlJc w:val="right"/>
      <w:pPr>
        <w:ind w:left="6480" w:hanging="180"/>
      </w:pPr>
    </w:lvl>
  </w:abstractNum>
  <w:abstractNum w:abstractNumId="8" w15:restartNumberingAfterBreak="0">
    <w:nsid w:val="2DB2439A"/>
    <w:multiLevelType w:val="hybridMultilevel"/>
    <w:tmpl w:val="6500504E"/>
    <w:lvl w:ilvl="0" w:tplc="759C7030">
      <w:start w:val="1"/>
      <w:numFmt w:val="bullet"/>
      <w:lvlText w:val="-"/>
      <w:lvlJc w:val="left"/>
      <w:pPr>
        <w:ind w:left="720" w:hanging="360"/>
      </w:pPr>
      <w:rPr>
        <w:u w:val="none"/>
      </w:rPr>
    </w:lvl>
    <w:lvl w:ilvl="1" w:tplc="78A6EECA">
      <w:start w:val="1"/>
      <w:numFmt w:val="bullet"/>
      <w:lvlText w:val="-"/>
      <w:lvlJc w:val="left"/>
      <w:pPr>
        <w:ind w:left="1440" w:hanging="360"/>
      </w:pPr>
      <w:rPr>
        <w:u w:val="none"/>
      </w:rPr>
    </w:lvl>
    <w:lvl w:ilvl="2" w:tplc="4B102184">
      <w:start w:val="1"/>
      <w:numFmt w:val="bullet"/>
      <w:lvlText w:val="-"/>
      <w:lvlJc w:val="left"/>
      <w:pPr>
        <w:ind w:left="2160" w:hanging="360"/>
      </w:pPr>
      <w:rPr>
        <w:u w:val="none"/>
      </w:rPr>
    </w:lvl>
    <w:lvl w:ilvl="3" w:tplc="2BF24E34">
      <w:start w:val="1"/>
      <w:numFmt w:val="bullet"/>
      <w:lvlText w:val="-"/>
      <w:lvlJc w:val="left"/>
      <w:pPr>
        <w:ind w:left="2880" w:hanging="360"/>
      </w:pPr>
      <w:rPr>
        <w:u w:val="none"/>
      </w:rPr>
    </w:lvl>
    <w:lvl w:ilvl="4" w:tplc="917E35B2">
      <w:start w:val="1"/>
      <w:numFmt w:val="bullet"/>
      <w:lvlText w:val="-"/>
      <w:lvlJc w:val="left"/>
      <w:pPr>
        <w:ind w:left="3600" w:hanging="360"/>
      </w:pPr>
      <w:rPr>
        <w:u w:val="none"/>
      </w:rPr>
    </w:lvl>
    <w:lvl w:ilvl="5" w:tplc="7F961C64">
      <w:start w:val="1"/>
      <w:numFmt w:val="bullet"/>
      <w:lvlText w:val="-"/>
      <w:lvlJc w:val="left"/>
      <w:pPr>
        <w:ind w:left="4320" w:hanging="360"/>
      </w:pPr>
      <w:rPr>
        <w:u w:val="none"/>
      </w:rPr>
    </w:lvl>
    <w:lvl w:ilvl="6" w:tplc="830AA9EE">
      <w:start w:val="1"/>
      <w:numFmt w:val="bullet"/>
      <w:lvlText w:val="-"/>
      <w:lvlJc w:val="left"/>
      <w:pPr>
        <w:ind w:left="5040" w:hanging="360"/>
      </w:pPr>
      <w:rPr>
        <w:u w:val="none"/>
      </w:rPr>
    </w:lvl>
    <w:lvl w:ilvl="7" w:tplc="AF386DBA">
      <w:start w:val="1"/>
      <w:numFmt w:val="bullet"/>
      <w:lvlText w:val="-"/>
      <w:lvlJc w:val="left"/>
      <w:pPr>
        <w:ind w:left="5760" w:hanging="360"/>
      </w:pPr>
      <w:rPr>
        <w:u w:val="none"/>
      </w:rPr>
    </w:lvl>
    <w:lvl w:ilvl="8" w:tplc="CFBE38C4">
      <w:start w:val="1"/>
      <w:numFmt w:val="bullet"/>
      <w:lvlText w:val="-"/>
      <w:lvlJc w:val="left"/>
      <w:pPr>
        <w:ind w:left="6480" w:hanging="360"/>
      </w:pPr>
      <w:rPr>
        <w:u w:val="none"/>
      </w:rPr>
    </w:lvl>
  </w:abstractNum>
  <w:abstractNum w:abstractNumId="9" w15:restartNumberingAfterBreak="0">
    <w:nsid w:val="316C377B"/>
    <w:multiLevelType w:val="hybridMultilevel"/>
    <w:tmpl w:val="FFFFFFFF"/>
    <w:lvl w:ilvl="0" w:tplc="57E08E40">
      <w:start w:val="1"/>
      <w:numFmt w:val="decimal"/>
      <w:lvlText w:val="%1."/>
      <w:lvlJc w:val="left"/>
      <w:pPr>
        <w:ind w:left="720" w:hanging="360"/>
      </w:pPr>
    </w:lvl>
    <w:lvl w:ilvl="1" w:tplc="B310FE6C">
      <w:start w:val="1"/>
      <w:numFmt w:val="lowerRoman"/>
      <w:lvlText w:val="%2."/>
      <w:lvlJc w:val="left"/>
      <w:pPr>
        <w:ind w:left="1440" w:hanging="360"/>
      </w:pPr>
    </w:lvl>
    <w:lvl w:ilvl="2" w:tplc="1C6CAD02">
      <w:start w:val="1"/>
      <w:numFmt w:val="lowerRoman"/>
      <w:lvlText w:val="%3."/>
      <w:lvlJc w:val="right"/>
      <w:pPr>
        <w:ind w:left="2160" w:hanging="180"/>
      </w:pPr>
    </w:lvl>
    <w:lvl w:ilvl="3" w:tplc="B88699DA">
      <w:start w:val="1"/>
      <w:numFmt w:val="decimal"/>
      <w:lvlText w:val="%4."/>
      <w:lvlJc w:val="left"/>
      <w:pPr>
        <w:ind w:left="2880" w:hanging="360"/>
      </w:pPr>
    </w:lvl>
    <w:lvl w:ilvl="4" w:tplc="CC961B62">
      <w:start w:val="1"/>
      <w:numFmt w:val="lowerLetter"/>
      <w:lvlText w:val="%5."/>
      <w:lvlJc w:val="left"/>
      <w:pPr>
        <w:ind w:left="3600" w:hanging="360"/>
      </w:pPr>
    </w:lvl>
    <w:lvl w:ilvl="5" w:tplc="08E0B3D0">
      <w:start w:val="1"/>
      <w:numFmt w:val="lowerRoman"/>
      <w:lvlText w:val="%6."/>
      <w:lvlJc w:val="right"/>
      <w:pPr>
        <w:ind w:left="4320" w:hanging="180"/>
      </w:pPr>
    </w:lvl>
    <w:lvl w:ilvl="6" w:tplc="C9D6ACB2">
      <w:start w:val="1"/>
      <w:numFmt w:val="decimal"/>
      <w:lvlText w:val="%7."/>
      <w:lvlJc w:val="left"/>
      <w:pPr>
        <w:ind w:left="5040" w:hanging="360"/>
      </w:pPr>
    </w:lvl>
    <w:lvl w:ilvl="7" w:tplc="A3F21648">
      <w:start w:val="1"/>
      <w:numFmt w:val="lowerLetter"/>
      <w:lvlText w:val="%8."/>
      <w:lvlJc w:val="left"/>
      <w:pPr>
        <w:ind w:left="5760" w:hanging="360"/>
      </w:pPr>
    </w:lvl>
    <w:lvl w:ilvl="8" w:tplc="396C74E8">
      <w:start w:val="1"/>
      <w:numFmt w:val="lowerRoman"/>
      <w:lvlText w:val="%9."/>
      <w:lvlJc w:val="right"/>
      <w:pPr>
        <w:ind w:left="6480" w:hanging="180"/>
      </w:pPr>
    </w:lvl>
  </w:abstractNum>
  <w:abstractNum w:abstractNumId="10" w15:restartNumberingAfterBreak="0">
    <w:nsid w:val="3CFC3E4B"/>
    <w:multiLevelType w:val="hybridMultilevel"/>
    <w:tmpl w:val="FFFFFFFF"/>
    <w:lvl w:ilvl="0" w:tplc="E978375A">
      <w:start w:val="1"/>
      <w:numFmt w:val="decimal"/>
      <w:lvlText w:val="%1."/>
      <w:lvlJc w:val="left"/>
      <w:pPr>
        <w:ind w:left="720" w:hanging="360"/>
      </w:pPr>
    </w:lvl>
    <w:lvl w:ilvl="1" w:tplc="D9A0775C">
      <w:start w:val="1"/>
      <w:numFmt w:val="lowerLetter"/>
      <w:lvlText w:val="%2."/>
      <w:lvlJc w:val="left"/>
      <w:pPr>
        <w:ind w:left="1440" w:hanging="360"/>
      </w:pPr>
    </w:lvl>
    <w:lvl w:ilvl="2" w:tplc="FFFFFFFF">
      <w:start w:val="1"/>
      <w:numFmt w:val="lowerLetter"/>
      <w:lvlText w:val="%3."/>
      <w:lvlJc w:val="left"/>
      <w:pPr>
        <w:ind w:left="2160" w:hanging="180"/>
      </w:pPr>
    </w:lvl>
    <w:lvl w:ilvl="3" w:tplc="B8923440">
      <w:start w:val="1"/>
      <w:numFmt w:val="decimal"/>
      <w:lvlText w:val="%4."/>
      <w:lvlJc w:val="left"/>
      <w:pPr>
        <w:ind w:left="2880" w:hanging="360"/>
      </w:pPr>
    </w:lvl>
    <w:lvl w:ilvl="4" w:tplc="D67615EC">
      <w:start w:val="1"/>
      <w:numFmt w:val="lowerLetter"/>
      <w:lvlText w:val="%5."/>
      <w:lvlJc w:val="left"/>
      <w:pPr>
        <w:ind w:left="3600" w:hanging="360"/>
      </w:pPr>
    </w:lvl>
    <w:lvl w:ilvl="5" w:tplc="5EF685DA">
      <w:start w:val="1"/>
      <w:numFmt w:val="lowerRoman"/>
      <w:lvlText w:val="%6."/>
      <w:lvlJc w:val="right"/>
      <w:pPr>
        <w:ind w:left="4320" w:hanging="180"/>
      </w:pPr>
    </w:lvl>
    <w:lvl w:ilvl="6" w:tplc="71CC3558">
      <w:start w:val="1"/>
      <w:numFmt w:val="decimal"/>
      <w:lvlText w:val="%7."/>
      <w:lvlJc w:val="left"/>
      <w:pPr>
        <w:ind w:left="5040" w:hanging="360"/>
      </w:pPr>
    </w:lvl>
    <w:lvl w:ilvl="7" w:tplc="E53A9BE8">
      <w:start w:val="1"/>
      <w:numFmt w:val="lowerLetter"/>
      <w:lvlText w:val="%8."/>
      <w:lvlJc w:val="left"/>
      <w:pPr>
        <w:ind w:left="5760" w:hanging="360"/>
      </w:pPr>
    </w:lvl>
    <w:lvl w:ilvl="8" w:tplc="79C2AA4A">
      <w:start w:val="1"/>
      <w:numFmt w:val="lowerRoman"/>
      <w:lvlText w:val="%9."/>
      <w:lvlJc w:val="right"/>
      <w:pPr>
        <w:ind w:left="6480" w:hanging="180"/>
      </w:pPr>
    </w:lvl>
  </w:abstractNum>
  <w:abstractNum w:abstractNumId="11" w15:restartNumberingAfterBreak="0">
    <w:nsid w:val="3DEF4797"/>
    <w:multiLevelType w:val="hybridMultilevel"/>
    <w:tmpl w:val="FFFFFFFF"/>
    <w:lvl w:ilvl="0" w:tplc="40E28384">
      <w:start w:val="1"/>
      <w:numFmt w:val="decimal"/>
      <w:lvlText w:val="%1."/>
      <w:lvlJc w:val="left"/>
      <w:pPr>
        <w:ind w:left="720" w:hanging="360"/>
      </w:pPr>
    </w:lvl>
    <w:lvl w:ilvl="1" w:tplc="E8D4BDE8">
      <w:start w:val="1"/>
      <w:numFmt w:val="lowerRoman"/>
      <w:lvlText w:val="%2."/>
      <w:lvlJc w:val="left"/>
      <w:pPr>
        <w:ind w:left="1440" w:hanging="360"/>
      </w:pPr>
    </w:lvl>
    <w:lvl w:ilvl="2" w:tplc="F9E691C6">
      <w:start w:val="1"/>
      <w:numFmt w:val="lowerRoman"/>
      <w:lvlText w:val="%3."/>
      <w:lvlJc w:val="right"/>
      <w:pPr>
        <w:ind w:left="2160" w:hanging="180"/>
      </w:pPr>
    </w:lvl>
    <w:lvl w:ilvl="3" w:tplc="EA66D59E">
      <w:start w:val="1"/>
      <w:numFmt w:val="decimal"/>
      <w:lvlText w:val="%4."/>
      <w:lvlJc w:val="left"/>
      <w:pPr>
        <w:ind w:left="2880" w:hanging="360"/>
      </w:pPr>
    </w:lvl>
    <w:lvl w:ilvl="4" w:tplc="C6BA5606">
      <w:start w:val="1"/>
      <w:numFmt w:val="lowerLetter"/>
      <w:lvlText w:val="%5."/>
      <w:lvlJc w:val="left"/>
      <w:pPr>
        <w:ind w:left="3600" w:hanging="360"/>
      </w:pPr>
    </w:lvl>
    <w:lvl w:ilvl="5" w:tplc="B216991A">
      <w:start w:val="1"/>
      <w:numFmt w:val="lowerRoman"/>
      <w:lvlText w:val="%6."/>
      <w:lvlJc w:val="right"/>
      <w:pPr>
        <w:ind w:left="4320" w:hanging="180"/>
      </w:pPr>
    </w:lvl>
    <w:lvl w:ilvl="6" w:tplc="EFC631EA">
      <w:start w:val="1"/>
      <w:numFmt w:val="decimal"/>
      <w:lvlText w:val="%7."/>
      <w:lvlJc w:val="left"/>
      <w:pPr>
        <w:ind w:left="5040" w:hanging="360"/>
      </w:pPr>
    </w:lvl>
    <w:lvl w:ilvl="7" w:tplc="2356E266">
      <w:start w:val="1"/>
      <w:numFmt w:val="lowerLetter"/>
      <w:lvlText w:val="%8."/>
      <w:lvlJc w:val="left"/>
      <w:pPr>
        <w:ind w:left="5760" w:hanging="360"/>
      </w:pPr>
    </w:lvl>
    <w:lvl w:ilvl="8" w:tplc="1EC61170">
      <w:start w:val="1"/>
      <w:numFmt w:val="lowerRoman"/>
      <w:lvlText w:val="%9."/>
      <w:lvlJc w:val="right"/>
      <w:pPr>
        <w:ind w:left="6480" w:hanging="180"/>
      </w:pPr>
    </w:lvl>
  </w:abstractNum>
  <w:abstractNum w:abstractNumId="12" w15:restartNumberingAfterBreak="0">
    <w:nsid w:val="42213743"/>
    <w:multiLevelType w:val="hybridMultilevel"/>
    <w:tmpl w:val="FFFFFFFF"/>
    <w:lvl w:ilvl="0" w:tplc="7F0EC2B8">
      <w:start w:val="1"/>
      <w:numFmt w:val="decimal"/>
      <w:lvlText w:val="%1."/>
      <w:lvlJc w:val="left"/>
      <w:pPr>
        <w:ind w:left="720" w:hanging="360"/>
      </w:pPr>
    </w:lvl>
    <w:lvl w:ilvl="1" w:tplc="7DD49C00">
      <w:start w:val="1"/>
      <w:numFmt w:val="lowerRoman"/>
      <w:lvlText w:val="%2."/>
      <w:lvlJc w:val="left"/>
      <w:pPr>
        <w:ind w:left="1440" w:hanging="360"/>
      </w:pPr>
    </w:lvl>
    <w:lvl w:ilvl="2" w:tplc="3AA2A804">
      <w:start w:val="1"/>
      <w:numFmt w:val="lowerRoman"/>
      <w:lvlText w:val="%3."/>
      <w:lvlJc w:val="right"/>
      <w:pPr>
        <w:ind w:left="2160" w:hanging="180"/>
      </w:pPr>
    </w:lvl>
    <w:lvl w:ilvl="3" w:tplc="466AB6A2">
      <w:start w:val="1"/>
      <w:numFmt w:val="decimal"/>
      <w:lvlText w:val="%4."/>
      <w:lvlJc w:val="left"/>
      <w:pPr>
        <w:ind w:left="2880" w:hanging="360"/>
      </w:pPr>
    </w:lvl>
    <w:lvl w:ilvl="4" w:tplc="D716287A">
      <w:start w:val="1"/>
      <w:numFmt w:val="lowerLetter"/>
      <w:lvlText w:val="%5."/>
      <w:lvlJc w:val="left"/>
      <w:pPr>
        <w:ind w:left="3600" w:hanging="360"/>
      </w:pPr>
    </w:lvl>
    <w:lvl w:ilvl="5" w:tplc="228817BE">
      <w:start w:val="1"/>
      <w:numFmt w:val="lowerRoman"/>
      <w:lvlText w:val="%6."/>
      <w:lvlJc w:val="right"/>
      <w:pPr>
        <w:ind w:left="4320" w:hanging="180"/>
      </w:pPr>
    </w:lvl>
    <w:lvl w:ilvl="6" w:tplc="1374A620">
      <w:start w:val="1"/>
      <w:numFmt w:val="decimal"/>
      <w:lvlText w:val="%7."/>
      <w:lvlJc w:val="left"/>
      <w:pPr>
        <w:ind w:left="5040" w:hanging="360"/>
      </w:pPr>
    </w:lvl>
    <w:lvl w:ilvl="7" w:tplc="A7EC9CD2">
      <w:start w:val="1"/>
      <w:numFmt w:val="lowerLetter"/>
      <w:lvlText w:val="%8."/>
      <w:lvlJc w:val="left"/>
      <w:pPr>
        <w:ind w:left="5760" w:hanging="360"/>
      </w:pPr>
    </w:lvl>
    <w:lvl w:ilvl="8" w:tplc="92F67CB6">
      <w:start w:val="1"/>
      <w:numFmt w:val="lowerRoman"/>
      <w:lvlText w:val="%9."/>
      <w:lvlJc w:val="right"/>
      <w:pPr>
        <w:ind w:left="6480" w:hanging="180"/>
      </w:pPr>
    </w:lvl>
  </w:abstractNum>
  <w:abstractNum w:abstractNumId="13" w15:restartNumberingAfterBreak="0">
    <w:nsid w:val="422B1C04"/>
    <w:multiLevelType w:val="hybridMultilevel"/>
    <w:tmpl w:val="18920348"/>
    <w:lvl w:ilvl="0" w:tplc="3C6A39B4">
      <w:start w:val="1"/>
      <w:numFmt w:val="lowerRoman"/>
      <w:lvlText w:val="%1."/>
      <w:lvlJc w:val="left"/>
      <w:pPr>
        <w:ind w:left="2880" w:hanging="360"/>
      </w:pPr>
    </w:lvl>
    <w:lvl w:ilvl="1" w:tplc="13AAB7E4">
      <w:start w:val="1"/>
      <w:numFmt w:val="lowerLetter"/>
      <w:lvlText w:val="%2."/>
      <w:lvlJc w:val="left"/>
      <w:pPr>
        <w:ind w:left="3600" w:hanging="360"/>
      </w:pPr>
    </w:lvl>
    <w:lvl w:ilvl="2" w:tplc="320C47B0">
      <w:start w:val="1"/>
      <w:numFmt w:val="lowerRoman"/>
      <w:lvlText w:val="%3."/>
      <w:lvlJc w:val="right"/>
      <w:pPr>
        <w:ind w:left="4320" w:hanging="180"/>
      </w:pPr>
    </w:lvl>
    <w:lvl w:ilvl="3" w:tplc="810046E6">
      <w:start w:val="1"/>
      <w:numFmt w:val="decimal"/>
      <w:lvlText w:val="%4."/>
      <w:lvlJc w:val="left"/>
      <w:pPr>
        <w:ind w:left="5040" w:hanging="360"/>
      </w:pPr>
    </w:lvl>
    <w:lvl w:ilvl="4" w:tplc="3A66ED00">
      <w:start w:val="1"/>
      <w:numFmt w:val="lowerLetter"/>
      <w:lvlText w:val="%5."/>
      <w:lvlJc w:val="left"/>
      <w:pPr>
        <w:ind w:left="5760" w:hanging="360"/>
      </w:pPr>
    </w:lvl>
    <w:lvl w:ilvl="5" w:tplc="C290BE5A">
      <w:start w:val="1"/>
      <w:numFmt w:val="lowerRoman"/>
      <w:lvlText w:val="%6."/>
      <w:lvlJc w:val="right"/>
      <w:pPr>
        <w:ind w:left="6480" w:hanging="180"/>
      </w:pPr>
    </w:lvl>
    <w:lvl w:ilvl="6" w:tplc="FCB441C4">
      <w:start w:val="1"/>
      <w:numFmt w:val="decimal"/>
      <w:lvlText w:val="%7."/>
      <w:lvlJc w:val="left"/>
      <w:pPr>
        <w:ind w:left="7200" w:hanging="360"/>
      </w:pPr>
    </w:lvl>
    <w:lvl w:ilvl="7" w:tplc="74BCE178">
      <w:start w:val="1"/>
      <w:numFmt w:val="lowerLetter"/>
      <w:lvlText w:val="%8."/>
      <w:lvlJc w:val="left"/>
      <w:pPr>
        <w:ind w:left="7920" w:hanging="360"/>
      </w:pPr>
    </w:lvl>
    <w:lvl w:ilvl="8" w:tplc="6F44ED0E">
      <w:start w:val="1"/>
      <w:numFmt w:val="lowerRoman"/>
      <w:lvlText w:val="%9."/>
      <w:lvlJc w:val="right"/>
      <w:pPr>
        <w:ind w:left="8640" w:hanging="180"/>
      </w:pPr>
    </w:lvl>
  </w:abstractNum>
  <w:abstractNum w:abstractNumId="14" w15:restartNumberingAfterBreak="0">
    <w:nsid w:val="442E5A7D"/>
    <w:multiLevelType w:val="multilevel"/>
    <w:tmpl w:val="CAAA78F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85E74D4"/>
    <w:multiLevelType w:val="hybridMultilevel"/>
    <w:tmpl w:val="FFFFFFFF"/>
    <w:lvl w:ilvl="0" w:tplc="74EAC73A">
      <w:start w:val="1"/>
      <w:numFmt w:val="lowerRoman"/>
      <w:lvlText w:val="%1."/>
      <w:lvlJc w:val="left"/>
      <w:pPr>
        <w:ind w:left="2880" w:hanging="360"/>
      </w:pPr>
    </w:lvl>
    <w:lvl w:ilvl="1" w:tplc="9E22257C">
      <w:start w:val="1"/>
      <w:numFmt w:val="lowerLetter"/>
      <w:lvlText w:val="%2."/>
      <w:lvlJc w:val="left"/>
      <w:pPr>
        <w:ind w:left="3600" w:hanging="360"/>
      </w:pPr>
    </w:lvl>
    <w:lvl w:ilvl="2" w:tplc="6F3A87EC">
      <w:start w:val="1"/>
      <w:numFmt w:val="lowerRoman"/>
      <w:lvlText w:val="%3."/>
      <w:lvlJc w:val="right"/>
      <w:pPr>
        <w:ind w:left="4320" w:hanging="180"/>
      </w:pPr>
    </w:lvl>
    <w:lvl w:ilvl="3" w:tplc="F976CAA4">
      <w:start w:val="1"/>
      <w:numFmt w:val="decimal"/>
      <w:lvlText w:val="%4."/>
      <w:lvlJc w:val="left"/>
      <w:pPr>
        <w:ind w:left="5040" w:hanging="360"/>
      </w:pPr>
    </w:lvl>
    <w:lvl w:ilvl="4" w:tplc="847AC3D2">
      <w:start w:val="1"/>
      <w:numFmt w:val="lowerLetter"/>
      <w:lvlText w:val="%5."/>
      <w:lvlJc w:val="left"/>
      <w:pPr>
        <w:ind w:left="5760" w:hanging="360"/>
      </w:pPr>
    </w:lvl>
    <w:lvl w:ilvl="5" w:tplc="EE688D14">
      <w:start w:val="1"/>
      <w:numFmt w:val="lowerRoman"/>
      <w:lvlText w:val="%6."/>
      <w:lvlJc w:val="right"/>
      <w:pPr>
        <w:ind w:left="6480" w:hanging="180"/>
      </w:pPr>
    </w:lvl>
    <w:lvl w:ilvl="6" w:tplc="C226E062">
      <w:start w:val="1"/>
      <w:numFmt w:val="decimal"/>
      <w:lvlText w:val="%7."/>
      <w:lvlJc w:val="left"/>
      <w:pPr>
        <w:ind w:left="7200" w:hanging="360"/>
      </w:pPr>
    </w:lvl>
    <w:lvl w:ilvl="7" w:tplc="C7A4954C">
      <w:start w:val="1"/>
      <w:numFmt w:val="lowerLetter"/>
      <w:lvlText w:val="%8."/>
      <w:lvlJc w:val="left"/>
      <w:pPr>
        <w:ind w:left="7920" w:hanging="360"/>
      </w:pPr>
    </w:lvl>
    <w:lvl w:ilvl="8" w:tplc="17FA1790">
      <w:start w:val="1"/>
      <w:numFmt w:val="lowerRoman"/>
      <w:lvlText w:val="%9."/>
      <w:lvlJc w:val="right"/>
      <w:pPr>
        <w:ind w:left="8640" w:hanging="180"/>
      </w:pPr>
    </w:lvl>
  </w:abstractNum>
  <w:abstractNum w:abstractNumId="16" w15:restartNumberingAfterBreak="0">
    <w:nsid w:val="4BF37A9E"/>
    <w:multiLevelType w:val="hybridMultilevel"/>
    <w:tmpl w:val="FFFFFFFF"/>
    <w:lvl w:ilvl="0" w:tplc="C62ACC56">
      <w:start w:val="1"/>
      <w:numFmt w:val="decimal"/>
      <w:lvlText w:val="%1."/>
      <w:lvlJc w:val="left"/>
      <w:pPr>
        <w:ind w:left="720" w:hanging="360"/>
      </w:pPr>
    </w:lvl>
    <w:lvl w:ilvl="1" w:tplc="BAC6C3E2">
      <w:start w:val="1"/>
      <w:numFmt w:val="lowerRoman"/>
      <w:lvlText w:val="%2."/>
      <w:lvlJc w:val="left"/>
      <w:pPr>
        <w:ind w:left="1440" w:hanging="360"/>
      </w:pPr>
    </w:lvl>
    <w:lvl w:ilvl="2" w:tplc="6B200DC2">
      <w:start w:val="1"/>
      <w:numFmt w:val="lowerRoman"/>
      <w:lvlText w:val="%3."/>
      <w:lvlJc w:val="right"/>
      <w:pPr>
        <w:ind w:left="2160" w:hanging="180"/>
      </w:pPr>
    </w:lvl>
    <w:lvl w:ilvl="3" w:tplc="5066EB6A">
      <w:start w:val="1"/>
      <w:numFmt w:val="decimal"/>
      <w:lvlText w:val="%4."/>
      <w:lvlJc w:val="left"/>
      <w:pPr>
        <w:ind w:left="2880" w:hanging="360"/>
      </w:pPr>
    </w:lvl>
    <w:lvl w:ilvl="4" w:tplc="F2041FA0">
      <w:start w:val="1"/>
      <w:numFmt w:val="lowerLetter"/>
      <w:lvlText w:val="%5."/>
      <w:lvlJc w:val="left"/>
      <w:pPr>
        <w:ind w:left="3600" w:hanging="360"/>
      </w:pPr>
    </w:lvl>
    <w:lvl w:ilvl="5" w:tplc="B05EB7AC">
      <w:start w:val="1"/>
      <w:numFmt w:val="lowerRoman"/>
      <w:lvlText w:val="%6."/>
      <w:lvlJc w:val="right"/>
      <w:pPr>
        <w:ind w:left="4320" w:hanging="180"/>
      </w:pPr>
    </w:lvl>
    <w:lvl w:ilvl="6" w:tplc="D36A0482">
      <w:start w:val="1"/>
      <w:numFmt w:val="decimal"/>
      <w:lvlText w:val="%7."/>
      <w:lvlJc w:val="left"/>
      <w:pPr>
        <w:ind w:left="5040" w:hanging="360"/>
      </w:pPr>
    </w:lvl>
    <w:lvl w:ilvl="7" w:tplc="48ECEC80">
      <w:start w:val="1"/>
      <w:numFmt w:val="lowerLetter"/>
      <w:lvlText w:val="%8."/>
      <w:lvlJc w:val="left"/>
      <w:pPr>
        <w:ind w:left="5760" w:hanging="360"/>
      </w:pPr>
    </w:lvl>
    <w:lvl w:ilvl="8" w:tplc="8ABA94EA">
      <w:start w:val="1"/>
      <w:numFmt w:val="lowerRoman"/>
      <w:lvlText w:val="%9."/>
      <w:lvlJc w:val="right"/>
      <w:pPr>
        <w:ind w:left="6480" w:hanging="180"/>
      </w:pPr>
    </w:lvl>
  </w:abstractNum>
  <w:abstractNum w:abstractNumId="17" w15:restartNumberingAfterBreak="0">
    <w:nsid w:val="4D307AF3"/>
    <w:multiLevelType w:val="multilevel"/>
    <w:tmpl w:val="4C829212"/>
    <w:lvl w:ilvl="0">
      <w:start w:val="1"/>
      <w:numFmt w:val="decimal"/>
      <w:lvlText w:val="%1."/>
      <w:lvlJc w:val="left"/>
      <w:pPr>
        <w:ind w:left="3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8" w15:restartNumberingAfterBreak="0">
    <w:nsid w:val="4FAB225C"/>
    <w:multiLevelType w:val="hybridMultilevel"/>
    <w:tmpl w:val="FFFFFFFF"/>
    <w:lvl w:ilvl="0" w:tplc="C40EFD36">
      <w:start w:val="1"/>
      <w:numFmt w:val="decimal"/>
      <w:lvlText w:val="%1."/>
      <w:lvlJc w:val="left"/>
      <w:pPr>
        <w:ind w:left="720" w:hanging="360"/>
      </w:pPr>
    </w:lvl>
    <w:lvl w:ilvl="1" w:tplc="C5481470">
      <w:start w:val="1"/>
      <w:numFmt w:val="lowerLetter"/>
      <w:lvlText w:val="%2."/>
      <w:lvlJc w:val="left"/>
      <w:pPr>
        <w:ind w:left="1440" w:hanging="360"/>
      </w:pPr>
    </w:lvl>
    <w:lvl w:ilvl="2" w:tplc="6548F642">
      <w:start w:val="1"/>
      <w:numFmt w:val="lowerRoman"/>
      <w:lvlText w:val="%3."/>
      <w:lvlJc w:val="right"/>
      <w:pPr>
        <w:ind w:left="2160" w:hanging="180"/>
      </w:pPr>
    </w:lvl>
    <w:lvl w:ilvl="3" w:tplc="F7E6EEA8">
      <w:start w:val="1"/>
      <w:numFmt w:val="decimal"/>
      <w:lvlText w:val="%4."/>
      <w:lvlJc w:val="left"/>
      <w:pPr>
        <w:ind w:left="643" w:hanging="360"/>
      </w:pPr>
    </w:lvl>
    <w:lvl w:ilvl="4" w:tplc="36500A58">
      <w:start w:val="1"/>
      <w:numFmt w:val="lowerLetter"/>
      <w:lvlText w:val="%5."/>
      <w:lvlJc w:val="left"/>
      <w:pPr>
        <w:ind w:left="3600" w:hanging="360"/>
      </w:pPr>
    </w:lvl>
    <w:lvl w:ilvl="5" w:tplc="25466948">
      <w:start w:val="1"/>
      <w:numFmt w:val="lowerRoman"/>
      <w:lvlText w:val="%6."/>
      <w:lvlJc w:val="right"/>
      <w:pPr>
        <w:ind w:left="4320" w:hanging="180"/>
      </w:pPr>
    </w:lvl>
    <w:lvl w:ilvl="6" w:tplc="458A1238">
      <w:start w:val="1"/>
      <w:numFmt w:val="decimal"/>
      <w:lvlText w:val="%7."/>
      <w:lvlJc w:val="left"/>
      <w:pPr>
        <w:ind w:left="5040" w:hanging="360"/>
      </w:pPr>
    </w:lvl>
    <w:lvl w:ilvl="7" w:tplc="72EEB650">
      <w:start w:val="1"/>
      <w:numFmt w:val="lowerLetter"/>
      <w:lvlText w:val="%8."/>
      <w:lvlJc w:val="left"/>
      <w:pPr>
        <w:ind w:left="5760" w:hanging="360"/>
      </w:pPr>
    </w:lvl>
    <w:lvl w:ilvl="8" w:tplc="C18C9390">
      <w:start w:val="1"/>
      <w:numFmt w:val="lowerRoman"/>
      <w:lvlText w:val="%9."/>
      <w:lvlJc w:val="right"/>
      <w:pPr>
        <w:ind w:left="6480" w:hanging="180"/>
      </w:pPr>
    </w:lvl>
  </w:abstractNum>
  <w:abstractNum w:abstractNumId="19" w15:restartNumberingAfterBreak="0">
    <w:nsid w:val="582A7EEC"/>
    <w:multiLevelType w:val="hybridMultilevel"/>
    <w:tmpl w:val="FFFFFFFF"/>
    <w:lvl w:ilvl="0" w:tplc="DFF42504">
      <w:start w:val="1"/>
      <w:numFmt w:val="decimal"/>
      <w:lvlText w:val="%1."/>
      <w:lvlJc w:val="left"/>
      <w:pPr>
        <w:ind w:left="720" w:hanging="360"/>
      </w:pPr>
    </w:lvl>
    <w:lvl w:ilvl="1" w:tplc="5B7889E8">
      <w:start w:val="1"/>
      <w:numFmt w:val="lowerLetter"/>
      <w:lvlText w:val="%2."/>
      <w:lvlJc w:val="left"/>
      <w:pPr>
        <w:ind w:left="1440" w:hanging="360"/>
      </w:pPr>
    </w:lvl>
    <w:lvl w:ilvl="2" w:tplc="18885D56">
      <w:start w:val="1"/>
      <w:numFmt w:val="lowerRoman"/>
      <w:lvlText w:val="%3."/>
      <w:lvlJc w:val="right"/>
      <w:pPr>
        <w:ind w:left="2160" w:hanging="180"/>
      </w:pPr>
    </w:lvl>
    <w:lvl w:ilvl="3" w:tplc="2CB2093C">
      <w:start w:val="1"/>
      <w:numFmt w:val="decimal"/>
      <w:lvlText w:val="%4."/>
      <w:lvlJc w:val="left"/>
      <w:pPr>
        <w:ind w:left="2880" w:hanging="360"/>
      </w:pPr>
    </w:lvl>
    <w:lvl w:ilvl="4" w:tplc="8156591C">
      <w:start w:val="1"/>
      <w:numFmt w:val="lowerLetter"/>
      <w:lvlText w:val="%5."/>
      <w:lvlJc w:val="left"/>
      <w:pPr>
        <w:ind w:left="3600" w:hanging="360"/>
      </w:pPr>
    </w:lvl>
    <w:lvl w:ilvl="5" w:tplc="FBE059F4">
      <w:start w:val="1"/>
      <w:numFmt w:val="lowerRoman"/>
      <w:lvlText w:val="%6."/>
      <w:lvlJc w:val="right"/>
      <w:pPr>
        <w:ind w:left="4320" w:hanging="180"/>
      </w:pPr>
    </w:lvl>
    <w:lvl w:ilvl="6" w:tplc="79AEA038">
      <w:start w:val="1"/>
      <w:numFmt w:val="decimal"/>
      <w:lvlText w:val="%7."/>
      <w:lvlJc w:val="left"/>
      <w:pPr>
        <w:ind w:left="5040" w:hanging="360"/>
      </w:pPr>
    </w:lvl>
    <w:lvl w:ilvl="7" w:tplc="0A70B51E">
      <w:start w:val="1"/>
      <w:numFmt w:val="lowerLetter"/>
      <w:lvlText w:val="%8."/>
      <w:lvlJc w:val="left"/>
      <w:pPr>
        <w:ind w:left="5760" w:hanging="360"/>
      </w:pPr>
    </w:lvl>
    <w:lvl w:ilvl="8" w:tplc="E46CA9A4">
      <w:start w:val="1"/>
      <w:numFmt w:val="lowerRoman"/>
      <w:lvlText w:val="%9."/>
      <w:lvlJc w:val="right"/>
      <w:pPr>
        <w:ind w:left="6480" w:hanging="180"/>
      </w:pPr>
    </w:lvl>
  </w:abstractNum>
  <w:abstractNum w:abstractNumId="20" w15:restartNumberingAfterBreak="0">
    <w:nsid w:val="5C447022"/>
    <w:multiLevelType w:val="hybridMultilevel"/>
    <w:tmpl w:val="0BF6516E"/>
    <w:lvl w:ilvl="0" w:tplc="164E11E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F204F1"/>
    <w:multiLevelType w:val="hybridMultilevel"/>
    <w:tmpl w:val="FFFFFFFF"/>
    <w:lvl w:ilvl="0" w:tplc="6DAE2C5A">
      <w:start w:val="1"/>
      <w:numFmt w:val="lowerRoman"/>
      <w:lvlText w:val="%1."/>
      <w:lvlJc w:val="left"/>
      <w:pPr>
        <w:ind w:left="2880" w:hanging="360"/>
      </w:pPr>
    </w:lvl>
    <w:lvl w:ilvl="1" w:tplc="DDDCE412">
      <w:start w:val="1"/>
      <w:numFmt w:val="lowerLetter"/>
      <w:lvlText w:val="%2."/>
      <w:lvlJc w:val="left"/>
      <w:pPr>
        <w:ind w:left="3600" w:hanging="360"/>
      </w:pPr>
    </w:lvl>
    <w:lvl w:ilvl="2" w:tplc="0A6E6AB6">
      <w:start w:val="1"/>
      <w:numFmt w:val="lowerRoman"/>
      <w:lvlText w:val="%3."/>
      <w:lvlJc w:val="right"/>
      <w:pPr>
        <w:ind w:left="4320" w:hanging="180"/>
      </w:pPr>
    </w:lvl>
    <w:lvl w:ilvl="3" w:tplc="672ED986">
      <w:start w:val="1"/>
      <w:numFmt w:val="decimal"/>
      <w:lvlText w:val="%4."/>
      <w:lvlJc w:val="left"/>
      <w:pPr>
        <w:ind w:left="5040" w:hanging="360"/>
      </w:pPr>
    </w:lvl>
    <w:lvl w:ilvl="4" w:tplc="74C065C8">
      <w:start w:val="1"/>
      <w:numFmt w:val="lowerLetter"/>
      <w:lvlText w:val="%5."/>
      <w:lvlJc w:val="left"/>
      <w:pPr>
        <w:ind w:left="5760" w:hanging="360"/>
      </w:pPr>
    </w:lvl>
    <w:lvl w:ilvl="5" w:tplc="2BAE1046">
      <w:start w:val="1"/>
      <w:numFmt w:val="lowerRoman"/>
      <w:lvlText w:val="%6."/>
      <w:lvlJc w:val="right"/>
      <w:pPr>
        <w:ind w:left="6480" w:hanging="180"/>
      </w:pPr>
    </w:lvl>
    <w:lvl w:ilvl="6" w:tplc="8C76F65A">
      <w:start w:val="1"/>
      <w:numFmt w:val="decimal"/>
      <w:lvlText w:val="%7."/>
      <w:lvlJc w:val="left"/>
      <w:pPr>
        <w:ind w:left="7200" w:hanging="360"/>
      </w:pPr>
    </w:lvl>
    <w:lvl w:ilvl="7" w:tplc="5B8A295A">
      <w:start w:val="1"/>
      <w:numFmt w:val="lowerLetter"/>
      <w:lvlText w:val="%8."/>
      <w:lvlJc w:val="left"/>
      <w:pPr>
        <w:ind w:left="7920" w:hanging="360"/>
      </w:pPr>
    </w:lvl>
    <w:lvl w:ilvl="8" w:tplc="DEAAA656">
      <w:start w:val="1"/>
      <w:numFmt w:val="lowerRoman"/>
      <w:lvlText w:val="%9."/>
      <w:lvlJc w:val="right"/>
      <w:pPr>
        <w:ind w:left="8640" w:hanging="180"/>
      </w:pPr>
    </w:lvl>
  </w:abstractNum>
  <w:abstractNum w:abstractNumId="22" w15:restartNumberingAfterBreak="0">
    <w:nsid w:val="61315D5F"/>
    <w:multiLevelType w:val="hybridMultilevel"/>
    <w:tmpl w:val="FFFFFFFF"/>
    <w:lvl w:ilvl="0" w:tplc="894A65AE">
      <w:start w:val="1"/>
      <w:numFmt w:val="decimal"/>
      <w:lvlText w:val="%1."/>
      <w:lvlJc w:val="left"/>
      <w:pPr>
        <w:ind w:left="720" w:hanging="360"/>
      </w:pPr>
    </w:lvl>
    <w:lvl w:ilvl="1" w:tplc="440E6266">
      <w:start w:val="1"/>
      <w:numFmt w:val="lowerRoman"/>
      <w:lvlText w:val="%2."/>
      <w:lvlJc w:val="left"/>
      <w:pPr>
        <w:ind w:left="1440" w:hanging="360"/>
      </w:pPr>
    </w:lvl>
    <w:lvl w:ilvl="2" w:tplc="569E79BE">
      <w:start w:val="1"/>
      <w:numFmt w:val="lowerRoman"/>
      <w:lvlText w:val="%3."/>
      <w:lvlJc w:val="right"/>
      <w:pPr>
        <w:ind w:left="2160" w:hanging="180"/>
      </w:pPr>
    </w:lvl>
    <w:lvl w:ilvl="3" w:tplc="EEBC33DE">
      <w:start w:val="1"/>
      <w:numFmt w:val="decimal"/>
      <w:lvlText w:val="%4."/>
      <w:lvlJc w:val="left"/>
      <w:pPr>
        <w:ind w:left="2880" w:hanging="360"/>
      </w:pPr>
    </w:lvl>
    <w:lvl w:ilvl="4" w:tplc="3F1EB70C">
      <w:start w:val="1"/>
      <w:numFmt w:val="lowerLetter"/>
      <w:lvlText w:val="%5."/>
      <w:lvlJc w:val="left"/>
      <w:pPr>
        <w:ind w:left="3600" w:hanging="360"/>
      </w:pPr>
    </w:lvl>
    <w:lvl w:ilvl="5" w:tplc="DB2478D0">
      <w:start w:val="1"/>
      <w:numFmt w:val="lowerRoman"/>
      <w:lvlText w:val="%6."/>
      <w:lvlJc w:val="right"/>
      <w:pPr>
        <w:ind w:left="4320" w:hanging="180"/>
      </w:pPr>
    </w:lvl>
    <w:lvl w:ilvl="6" w:tplc="54802618">
      <w:start w:val="1"/>
      <w:numFmt w:val="decimal"/>
      <w:lvlText w:val="%7."/>
      <w:lvlJc w:val="left"/>
      <w:pPr>
        <w:ind w:left="5040" w:hanging="360"/>
      </w:pPr>
    </w:lvl>
    <w:lvl w:ilvl="7" w:tplc="C976573E">
      <w:start w:val="1"/>
      <w:numFmt w:val="lowerLetter"/>
      <w:lvlText w:val="%8."/>
      <w:lvlJc w:val="left"/>
      <w:pPr>
        <w:ind w:left="5760" w:hanging="360"/>
      </w:pPr>
    </w:lvl>
    <w:lvl w:ilvl="8" w:tplc="6D82A27E">
      <w:start w:val="1"/>
      <w:numFmt w:val="lowerRoman"/>
      <w:lvlText w:val="%9."/>
      <w:lvlJc w:val="right"/>
      <w:pPr>
        <w:ind w:left="6480" w:hanging="180"/>
      </w:pPr>
    </w:lvl>
  </w:abstractNum>
  <w:abstractNum w:abstractNumId="23" w15:restartNumberingAfterBreak="0">
    <w:nsid w:val="614A25DC"/>
    <w:multiLevelType w:val="hybridMultilevel"/>
    <w:tmpl w:val="FFFFFFFF"/>
    <w:lvl w:ilvl="0" w:tplc="42C28174">
      <w:start w:val="1"/>
      <w:numFmt w:val="lowerRoman"/>
      <w:lvlText w:val="%1."/>
      <w:lvlJc w:val="left"/>
      <w:pPr>
        <w:ind w:left="2880" w:hanging="360"/>
      </w:pPr>
    </w:lvl>
    <w:lvl w:ilvl="1" w:tplc="D77C39F6">
      <w:start w:val="1"/>
      <w:numFmt w:val="lowerLetter"/>
      <w:lvlText w:val="%2."/>
      <w:lvlJc w:val="left"/>
      <w:pPr>
        <w:ind w:left="3600" w:hanging="360"/>
      </w:pPr>
    </w:lvl>
    <w:lvl w:ilvl="2" w:tplc="EBDABA38">
      <w:start w:val="1"/>
      <w:numFmt w:val="lowerRoman"/>
      <w:lvlText w:val="%3."/>
      <w:lvlJc w:val="right"/>
      <w:pPr>
        <w:ind w:left="4320" w:hanging="180"/>
      </w:pPr>
    </w:lvl>
    <w:lvl w:ilvl="3" w:tplc="A636047E">
      <w:start w:val="1"/>
      <w:numFmt w:val="decimal"/>
      <w:lvlText w:val="%4."/>
      <w:lvlJc w:val="left"/>
      <w:pPr>
        <w:ind w:left="5040" w:hanging="360"/>
      </w:pPr>
    </w:lvl>
    <w:lvl w:ilvl="4" w:tplc="AA04CA0E">
      <w:start w:val="1"/>
      <w:numFmt w:val="lowerLetter"/>
      <w:lvlText w:val="%5."/>
      <w:lvlJc w:val="left"/>
      <w:pPr>
        <w:ind w:left="5760" w:hanging="360"/>
      </w:pPr>
    </w:lvl>
    <w:lvl w:ilvl="5" w:tplc="33C09574">
      <w:start w:val="1"/>
      <w:numFmt w:val="lowerRoman"/>
      <w:lvlText w:val="%6."/>
      <w:lvlJc w:val="right"/>
      <w:pPr>
        <w:ind w:left="6480" w:hanging="180"/>
      </w:pPr>
    </w:lvl>
    <w:lvl w:ilvl="6" w:tplc="04DCA728">
      <w:start w:val="1"/>
      <w:numFmt w:val="decimal"/>
      <w:lvlText w:val="%7."/>
      <w:lvlJc w:val="left"/>
      <w:pPr>
        <w:ind w:left="7200" w:hanging="360"/>
      </w:pPr>
    </w:lvl>
    <w:lvl w:ilvl="7" w:tplc="2990D388">
      <w:start w:val="1"/>
      <w:numFmt w:val="lowerLetter"/>
      <w:lvlText w:val="%8."/>
      <w:lvlJc w:val="left"/>
      <w:pPr>
        <w:ind w:left="7920" w:hanging="360"/>
      </w:pPr>
    </w:lvl>
    <w:lvl w:ilvl="8" w:tplc="853481A4">
      <w:start w:val="1"/>
      <w:numFmt w:val="lowerRoman"/>
      <w:lvlText w:val="%9."/>
      <w:lvlJc w:val="right"/>
      <w:pPr>
        <w:ind w:left="8640" w:hanging="180"/>
      </w:pPr>
    </w:lvl>
  </w:abstractNum>
  <w:abstractNum w:abstractNumId="24" w15:restartNumberingAfterBreak="0">
    <w:nsid w:val="654303E5"/>
    <w:multiLevelType w:val="hybridMultilevel"/>
    <w:tmpl w:val="17F8CAD4"/>
    <w:lvl w:ilvl="0" w:tplc="FFFFFFFF">
      <w:start w:val="1"/>
      <w:numFmt w:val="decimal"/>
      <w:lvlText w:val="[%1]"/>
      <w:lvlJc w:val="righ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C402963"/>
    <w:multiLevelType w:val="hybridMultilevel"/>
    <w:tmpl w:val="FFFFFFFF"/>
    <w:lvl w:ilvl="0" w:tplc="C7489F40">
      <w:start w:val="1"/>
      <w:numFmt w:val="decimal"/>
      <w:lvlText w:val="%1."/>
      <w:lvlJc w:val="left"/>
      <w:pPr>
        <w:ind w:left="720" w:hanging="360"/>
      </w:pPr>
    </w:lvl>
    <w:lvl w:ilvl="1" w:tplc="FFB696AA">
      <w:start w:val="1"/>
      <w:numFmt w:val="lowerLetter"/>
      <w:lvlText w:val="%2."/>
      <w:lvlJc w:val="left"/>
      <w:pPr>
        <w:ind w:left="1440" w:hanging="360"/>
      </w:pPr>
    </w:lvl>
    <w:lvl w:ilvl="2" w:tplc="948C3CB8">
      <w:start w:val="1"/>
      <w:numFmt w:val="lowerRoman"/>
      <w:lvlText w:val="%3."/>
      <w:lvlJc w:val="right"/>
      <w:pPr>
        <w:ind w:left="2160" w:hanging="180"/>
      </w:pPr>
    </w:lvl>
    <w:lvl w:ilvl="3" w:tplc="E2E4FEAC">
      <w:start w:val="1"/>
      <w:numFmt w:val="lowerRoman"/>
      <w:lvlText w:val="%4."/>
      <w:lvlJc w:val="left"/>
      <w:pPr>
        <w:ind w:left="2880" w:hanging="360"/>
      </w:pPr>
    </w:lvl>
    <w:lvl w:ilvl="4" w:tplc="C0B2FE32">
      <w:start w:val="1"/>
      <w:numFmt w:val="lowerLetter"/>
      <w:lvlText w:val="%5."/>
      <w:lvlJc w:val="left"/>
      <w:pPr>
        <w:ind w:left="3600" w:hanging="360"/>
      </w:pPr>
    </w:lvl>
    <w:lvl w:ilvl="5" w:tplc="70668602">
      <w:start w:val="1"/>
      <w:numFmt w:val="lowerRoman"/>
      <w:lvlText w:val="%6."/>
      <w:lvlJc w:val="right"/>
      <w:pPr>
        <w:ind w:left="4320" w:hanging="180"/>
      </w:pPr>
    </w:lvl>
    <w:lvl w:ilvl="6" w:tplc="7E44780E">
      <w:start w:val="1"/>
      <w:numFmt w:val="decimal"/>
      <w:lvlText w:val="%7."/>
      <w:lvlJc w:val="left"/>
      <w:pPr>
        <w:ind w:left="5040" w:hanging="360"/>
      </w:pPr>
    </w:lvl>
    <w:lvl w:ilvl="7" w:tplc="0BF8989E">
      <w:start w:val="1"/>
      <w:numFmt w:val="lowerLetter"/>
      <w:lvlText w:val="%8."/>
      <w:lvlJc w:val="left"/>
      <w:pPr>
        <w:ind w:left="5760" w:hanging="360"/>
      </w:pPr>
    </w:lvl>
    <w:lvl w:ilvl="8" w:tplc="51FA58F6">
      <w:start w:val="1"/>
      <w:numFmt w:val="lowerRoman"/>
      <w:lvlText w:val="%9."/>
      <w:lvlJc w:val="right"/>
      <w:pPr>
        <w:ind w:left="6480" w:hanging="180"/>
      </w:pPr>
    </w:lvl>
  </w:abstractNum>
  <w:abstractNum w:abstractNumId="26" w15:restartNumberingAfterBreak="0">
    <w:nsid w:val="723519A1"/>
    <w:multiLevelType w:val="hybridMultilevel"/>
    <w:tmpl w:val="D69A537E"/>
    <w:lvl w:ilvl="0" w:tplc="AF781378">
      <w:start w:val="1"/>
      <w:numFmt w:val="bullet"/>
      <w:lvlText w:val="-"/>
      <w:lvlJc w:val="left"/>
      <w:pPr>
        <w:ind w:left="720" w:hanging="360"/>
      </w:pPr>
      <w:rPr>
        <w:u w:val="none"/>
      </w:rPr>
    </w:lvl>
    <w:lvl w:ilvl="1" w:tplc="368CE0A4">
      <w:start w:val="1"/>
      <w:numFmt w:val="bullet"/>
      <w:lvlText w:val="-"/>
      <w:lvlJc w:val="left"/>
      <w:pPr>
        <w:ind w:left="1440" w:hanging="360"/>
      </w:pPr>
      <w:rPr>
        <w:u w:val="none"/>
      </w:rPr>
    </w:lvl>
    <w:lvl w:ilvl="2" w:tplc="8E54961C">
      <w:start w:val="1"/>
      <w:numFmt w:val="bullet"/>
      <w:lvlText w:val="-"/>
      <w:lvlJc w:val="left"/>
      <w:pPr>
        <w:ind w:left="2160" w:hanging="360"/>
      </w:pPr>
      <w:rPr>
        <w:u w:val="none"/>
      </w:rPr>
    </w:lvl>
    <w:lvl w:ilvl="3" w:tplc="4C70FCF0">
      <w:start w:val="1"/>
      <w:numFmt w:val="bullet"/>
      <w:lvlText w:val="-"/>
      <w:lvlJc w:val="left"/>
      <w:pPr>
        <w:ind w:left="2880" w:hanging="360"/>
      </w:pPr>
      <w:rPr>
        <w:u w:val="none"/>
      </w:rPr>
    </w:lvl>
    <w:lvl w:ilvl="4" w:tplc="14847280">
      <w:start w:val="1"/>
      <w:numFmt w:val="bullet"/>
      <w:lvlText w:val="-"/>
      <w:lvlJc w:val="left"/>
      <w:pPr>
        <w:ind w:left="3600" w:hanging="360"/>
      </w:pPr>
      <w:rPr>
        <w:u w:val="none"/>
      </w:rPr>
    </w:lvl>
    <w:lvl w:ilvl="5" w:tplc="F12CC968">
      <w:start w:val="1"/>
      <w:numFmt w:val="bullet"/>
      <w:lvlText w:val="-"/>
      <w:lvlJc w:val="left"/>
      <w:pPr>
        <w:ind w:left="4320" w:hanging="360"/>
      </w:pPr>
      <w:rPr>
        <w:u w:val="none"/>
      </w:rPr>
    </w:lvl>
    <w:lvl w:ilvl="6" w:tplc="555AE86E">
      <w:start w:val="1"/>
      <w:numFmt w:val="bullet"/>
      <w:lvlText w:val="-"/>
      <w:lvlJc w:val="left"/>
      <w:pPr>
        <w:ind w:left="5040" w:hanging="360"/>
      </w:pPr>
      <w:rPr>
        <w:u w:val="none"/>
      </w:rPr>
    </w:lvl>
    <w:lvl w:ilvl="7" w:tplc="6BC8452E">
      <w:start w:val="1"/>
      <w:numFmt w:val="bullet"/>
      <w:lvlText w:val="-"/>
      <w:lvlJc w:val="left"/>
      <w:pPr>
        <w:ind w:left="5760" w:hanging="360"/>
      </w:pPr>
      <w:rPr>
        <w:u w:val="none"/>
      </w:rPr>
    </w:lvl>
    <w:lvl w:ilvl="8" w:tplc="412EFE7E">
      <w:start w:val="1"/>
      <w:numFmt w:val="bullet"/>
      <w:lvlText w:val="-"/>
      <w:lvlJc w:val="left"/>
      <w:pPr>
        <w:ind w:left="6480" w:hanging="360"/>
      </w:pPr>
      <w:rPr>
        <w:u w:val="none"/>
      </w:rPr>
    </w:lvl>
  </w:abstractNum>
  <w:abstractNum w:abstractNumId="27" w15:restartNumberingAfterBreak="0">
    <w:nsid w:val="73DF7327"/>
    <w:multiLevelType w:val="hybridMultilevel"/>
    <w:tmpl w:val="36BE92C4"/>
    <w:lvl w:ilvl="0" w:tplc="FFFFFFFF">
      <w:start w:val="1"/>
      <w:numFmt w:val="decimal"/>
      <w:lvlText w:val="[%1]"/>
      <w:lvlJc w:val="righ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58536B4"/>
    <w:multiLevelType w:val="hybridMultilevel"/>
    <w:tmpl w:val="FFFFFFFF"/>
    <w:lvl w:ilvl="0" w:tplc="B1DA77F2">
      <w:start w:val="1"/>
      <w:numFmt w:val="lowerLetter"/>
      <w:lvlText w:val="%1."/>
      <w:lvlJc w:val="left"/>
      <w:pPr>
        <w:ind w:left="1800" w:hanging="360"/>
      </w:pPr>
    </w:lvl>
    <w:lvl w:ilvl="1" w:tplc="2444B670">
      <w:start w:val="1"/>
      <w:numFmt w:val="lowerLetter"/>
      <w:lvlText w:val="%2."/>
      <w:lvlJc w:val="left"/>
      <w:pPr>
        <w:ind w:left="2520" w:hanging="360"/>
      </w:pPr>
    </w:lvl>
    <w:lvl w:ilvl="2" w:tplc="5DD8AA72">
      <w:start w:val="1"/>
      <w:numFmt w:val="lowerRoman"/>
      <w:lvlText w:val="%3."/>
      <w:lvlJc w:val="right"/>
      <w:pPr>
        <w:ind w:left="3240" w:hanging="180"/>
      </w:pPr>
    </w:lvl>
    <w:lvl w:ilvl="3" w:tplc="5BCC31F6">
      <w:start w:val="1"/>
      <w:numFmt w:val="decimal"/>
      <w:lvlText w:val="%4."/>
      <w:lvlJc w:val="left"/>
      <w:pPr>
        <w:ind w:left="3960" w:hanging="360"/>
      </w:pPr>
    </w:lvl>
    <w:lvl w:ilvl="4" w:tplc="FB2ECE2A">
      <w:start w:val="1"/>
      <w:numFmt w:val="lowerLetter"/>
      <w:lvlText w:val="%5."/>
      <w:lvlJc w:val="left"/>
      <w:pPr>
        <w:ind w:left="4680" w:hanging="360"/>
      </w:pPr>
    </w:lvl>
    <w:lvl w:ilvl="5" w:tplc="C72A49EA">
      <w:start w:val="1"/>
      <w:numFmt w:val="lowerRoman"/>
      <w:lvlText w:val="%6."/>
      <w:lvlJc w:val="right"/>
      <w:pPr>
        <w:ind w:left="5400" w:hanging="180"/>
      </w:pPr>
    </w:lvl>
    <w:lvl w:ilvl="6" w:tplc="F7CA9906">
      <w:start w:val="1"/>
      <w:numFmt w:val="decimal"/>
      <w:lvlText w:val="%7."/>
      <w:lvlJc w:val="left"/>
      <w:pPr>
        <w:ind w:left="6120" w:hanging="360"/>
      </w:pPr>
    </w:lvl>
    <w:lvl w:ilvl="7" w:tplc="DFCAEEB0">
      <w:start w:val="1"/>
      <w:numFmt w:val="lowerLetter"/>
      <w:lvlText w:val="%8."/>
      <w:lvlJc w:val="left"/>
      <w:pPr>
        <w:ind w:left="6840" w:hanging="360"/>
      </w:pPr>
    </w:lvl>
    <w:lvl w:ilvl="8" w:tplc="6B0E963A">
      <w:start w:val="1"/>
      <w:numFmt w:val="lowerRoman"/>
      <w:lvlText w:val="%9."/>
      <w:lvlJc w:val="right"/>
      <w:pPr>
        <w:ind w:left="7560" w:hanging="180"/>
      </w:pPr>
    </w:lvl>
  </w:abstractNum>
  <w:abstractNum w:abstractNumId="29" w15:restartNumberingAfterBreak="0">
    <w:nsid w:val="7EE208BD"/>
    <w:multiLevelType w:val="hybridMultilevel"/>
    <w:tmpl w:val="C0B0A944"/>
    <w:lvl w:ilvl="0" w:tplc="31F02D16">
      <w:start w:val="1"/>
      <w:numFmt w:val="decimal"/>
      <w:lvlText w:val="%1."/>
      <w:lvlJc w:val="left"/>
      <w:pPr>
        <w:ind w:left="720" w:hanging="360"/>
      </w:pPr>
    </w:lvl>
    <w:lvl w:ilvl="1" w:tplc="2A5EB722">
      <w:start w:val="1"/>
      <w:numFmt w:val="lowerRoman"/>
      <w:lvlText w:val="%2."/>
      <w:lvlJc w:val="left"/>
      <w:pPr>
        <w:ind w:left="1440" w:hanging="360"/>
      </w:pPr>
    </w:lvl>
    <w:lvl w:ilvl="2" w:tplc="2AC67D68">
      <w:start w:val="1"/>
      <w:numFmt w:val="lowerRoman"/>
      <w:lvlText w:val="%3."/>
      <w:lvlJc w:val="right"/>
      <w:pPr>
        <w:ind w:left="2160" w:hanging="180"/>
      </w:pPr>
    </w:lvl>
    <w:lvl w:ilvl="3" w:tplc="7848FEAE">
      <w:start w:val="1"/>
      <w:numFmt w:val="decimal"/>
      <w:lvlText w:val="%4."/>
      <w:lvlJc w:val="left"/>
      <w:pPr>
        <w:ind w:left="2880" w:hanging="360"/>
      </w:pPr>
    </w:lvl>
    <w:lvl w:ilvl="4" w:tplc="20DAC782">
      <w:start w:val="1"/>
      <w:numFmt w:val="lowerLetter"/>
      <w:lvlText w:val="%5."/>
      <w:lvlJc w:val="left"/>
      <w:pPr>
        <w:ind w:left="3600" w:hanging="360"/>
      </w:pPr>
    </w:lvl>
    <w:lvl w:ilvl="5" w:tplc="46823FDE">
      <w:start w:val="1"/>
      <w:numFmt w:val="lowerRoman"/>
      <w:lvlText w:val="%6."/>
      <w:lvlJc w:val="right"/>
      <w:pPr>
        <w:ind w:left="4320" w:hanging="180"/>
      </w:pPr>
    </w:lvl>
    <w:lvl w:ilvl="6" w:tplc="B84A9C52">
      <w:start w:val="1"/>
      <w:numFmt w:val="decimal"/>
      <w:lvlText w:val="%7."/>
      <w:lvlJc w:val="left"/>
      <w:pPr>
        <w:ind w:left="5040" w:hanging="360"/>
      </w:pPr>
    </w:lvl>
    <w:lvl w:ilvl="7" w:tplc="64EE948C">
      <w:start w:val="1"/>
      <w:numFmt w:val="lowerLetter"/>
      <w:lvlText w:val="%8."/>
      <w:lvlJc w:val="left"/>
      <w:pPr>
        <w:ind w:left="5760" w:hanging="360"/>
      </w:pPr>
    </w:lvl>
    <w:lvl w:ilvl="8" w:tplc="485660B4">
      <w:start w:val="1"/>
      <w:numFmt w:val="lowerRoman"/>
      <w:lvlText w:val="%9."/>
      <w:lvlJc w:val="right"/>
      <w:pPr>
        <w:ind w:left="6480" w:hanging="180"/>
      </w:pPr>
    </w:lvl>
  </w:abstractNum>
  <w:num w:numId="1" w16cid:durableId="1054933662">
    <w:abstractNumId w:val="12"/>
  </w:num>
  <w:num w:numId="2" w16cid:durableId="1102069492">
    <w:abstractNumId w:val="28"/>
  </w:num>
  <w:num w:numId="3" w16cid:durableId="727144099">
    <w:abstractNumId w:val="23"/>
  </w:num>
  <w:num w:numId="4" w16cid:durableId="2045784296">
    <w:abstractNumId w:val="26"/>
  </w:num>
  <w:num w:numId="5" w16cid:durableId="493451449">
    <w:abstractNumId w:val="8"/>
  </w:num>
  <w:num w:numId="6" w16cid:durableId="792990525">
    <w:abstractNumId w:val="3"/>
  </w:num>
  <w:num w:numId="7" w16cid:durableId="1507285417">
    <w:abstractNumId w:val="27"/>
  </w:num>
  <w:num w:numId="8" w16cid:durableId="2437572">
    <w:abstractNumId w:val="17"/>
  </w:num>
  <w:num w:numId="9" w16cid:durableId="1797478858">
    <w:abstractNumId w:val="20"/>
  </w:num>
  <w:num w:numId="10" w16cid:durableId="112797438">
    <w:abstractNumId w:val="14"/>
  </w:num>
  <w:num w:numId="11" w16cid:durableId="882254654">
    <w:abstractNumId w:val="0"/>
  </w:num>
  <w:num w:numId="12" w16cid:durableId="1477406538">
    <w:abstractNumId w:val="18"/>
  </w:num>
  <w:num w:numId="13" w16cid:durableId="266281243">
    <w:abstractNumId w:val="19"/>
  </w:num>
  <w:num w:numId="14" w16cid:durableId="262304424">
    <w:abstractNumId w:val="10"/>
  </w:num>
  <w:num w:numId="15" w16cid:durableId="376468659">
    <w:abstractNumId w:val="25"/>
  </w:num>
  <w:num w:numId="16" w16cid:durableId="1938781668">
    <w:abstractNumId w:val="6"/>
  </w:num>
  <w:num w:numId="17" w16cid:durableId="1015306164">
    <w:abstractNumId w:val="1"/>
  </w:num>
  <w:num w:numId="18" w16cid:durableId="1706565439">
    <w:abstractNumId w:val="24"/>
  </w:num>
  <w:num w:numId="19" w16cid:durableId="1522354393">
    <w:abstractNumId w:val="29"/>
  </w:num>
  <w:num w:numId="20" w16cid:durableId="738939710">
    <w:abstractNumId w:val="7"/>
  </w:num>
  <w:num w:numId="21" w16cid:durableId="664212206">
    <w:abstractNumId w:val="2"/>
  </w:num>
  <w:num w:numId="22" w16cid:durableId="129061106">
    <w:abstractNumId w:val="13"/>
  </w:num>
  <w:num w:numId="23" w16cid:durableId="101345070">
    <w:abstractNumId w:val="22"/>
  </w:num>
  <w:num w:numId="24" w16cid:durableId="705523582">
    <w:abstractNumId w:val="9"/>
  </w:num>
  <w:num w:numId="25" w16cid:durableId="1351494869">
    <w:abstractNumId w:val="4"/>
  </w:num>
  <w:num w:numId="26" w16cid:durableId="765657724">
    <w:abstractNumId w:val="15"/>
  </w:num>
  <w:num w:numId="27" w16cid:durableId="2100902379">
    <w:abstractNumId w:val="16"/>
  </w:num>
  <w:num w:numId="28" w16cid:durableId="483400356">
    <w:abstractNumId w:val="11"/>
  </w:num>
  <w:num w:numId="29" w16cid:durableId="337849247">
    <w:abstractNumId w:val="5"/>
  </w:num>
  <w:num w:numId="30" w16cid:durableId="129918994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86"/>
    <w:rsid w:val="000001CF"/>
    <w:rsid w:val="00002C3D"/>
    <w:rsid w:val="0000417D"/>
    <w:rsid w:val="0000622D"/>
    <w:rsid w:val="00007619"/>
    <w:rsid w:val="000086F5"/>
    <w:rsid w:val="0001023D"/>
    <w:rsid w:val="00011E78"/>
    <w:rsid w:val="0001202E"/>
    <w:rsid w:val="00013A67"/>
    <w:rsid w:val="00013EB5"/>
    <w:rsid w:val="00014B3B"/>
    <w:rsid w:val="00015F2F"/>
    <w:rsid w:val="000162A0"/>
    <w:rsid w:val="000200B7"/>
    <w:rsid w:val="000201E7"/>
    <w:rsid w:val="00022C57"/>
    <w:rsid w:val="000245E9"/>
    <w:rsid w:val="000246A1"/>
    <w:rsid w:val="0002707D"/>
    <w:rsid w:val="00027B7E"/>
    <w:rsid w:val="0002E9F3"/>
    <w:rsid w:val="00030BD5"/>
    <w:rsid w:val="00030FFE"/>
    <w:rsid w:val="0003133F"/>
    <w:rsid w:val="0003137C"/>
    <w:rsid w:val="00032C44"/>
    <w:rsid w:val="00032DFB"/>
    <w:rsid w:val="0003439D"/>
    <w:rsid w:val="000345DE"/>
    <w:rsid w:val="00035D1B"/>
    <w:rsid w:val="00035E43"/>
    <w:rsid w:val="00036564"/>
    <w:rsid w:val="000409C4"/>
    <w:rsid w:val="00040D8E"/>
    <w:rsid w:val="0004256F"/>
    <w:rsid w:val="0004392C"/>
    <w:rsid w:val="00044F59"/>
    <w:rsid w:val="0004705E"/>
    <w:rsid w:val="0005044C"/>
    <w:rsid w:val="00050BB9"/>
    <w:rsid w:val="000520FF"/>
    <w:rsid w:val="000546ED"/>
    <w:rsid w:val="00054A67"/>
    <w:rsid w:val="00055C53"/>
    <w:rsid w:val="000560CD"/>
    <w:rsid w:val="00056D02"/>
    <w:rsid w:val="00057C68"/>
    <w:rsid w:val="00058420"/>
    <w:rsid w:val="0005E4F8"/>
    <w:rsid w:val="0006196A"/>
    <w:rsid w:val="00061E53"/>
    <w:rsid w:val="00062F07"/>
    <w:rsid w:val="000635FE"/>
    <w:rsid w:val="000639A7"/>
    <w:rsid w:val="00064067"/>
    <w:rsid w:val="00070702"/>
    <w:rsid w:val="00072098"/>
    <w:rsid w:val="00072B9B"/>
    <w:rsid w:val="000730E8"/>
    <w:rsid w:val="00073484"/>
    <w:rsid w:val="000752FF"/>
    <w:rsid w:val="000763F9"/>
    <w:rsid w:val="00076FDD"/>
    <w:rsid w:val="00080AFB"/>
    <w:rsid w:val="00081E93"/>
    <w:rsid w:val="00082B09"/>
    <w:rsid w:val="00082EDE"/>
    <w:rsid w:val="00084629"/>
    <w:rsid w:val="0008628E"/>
    <w:rsid w:val="00087131"/>
    <w:rsid w:val="000877F9"/>
    <w:rsid w:val="000916AF"/>
    <w:rsid w:val="00092805"/>
    <w:rsid w:val="00093D31"/>
    <w:rsid w:val="000946C2"/>
    <w:rsid w:val="00096F6B"/>
    <w:rsid w:val="00096F77"/>
    <w:rsid w:val="00097F5E"/>
    <w:rsid w:val="000A2832"/>
    <w:rsid w:val="000A2DD9"/>
    <w:rsid w:val="000A3190"/>
    <w:rsid w:val="000A35ED"/>
    <w:rsid w:val="000A3634"/>
    <w:rsid w:val="000A3B15"/>
    <w:rsid w:val="000A451C"/>
    <w:rsid w:val="000A5C5E"/>
    <w:rsid w:val="000A5E08"/>
    <w:rsid w:val="000B0362"/>
    <w:rsid w:val="000B0441"/>
    <w:rsid w:val="000B20BD"/>
    <w:rsid w:val="000B24A2"/>
    <w:rsid w:val="000B3462"/>
    <w:rsid w:val="000B39DD"/>
    <w:rsid w:val="000B4456"/>
    <w:rsid w:val="000B48AB"/>
    <w:rsid w:val="000B5418"/>
    <w:rsid w:val="000B6667"/>
    <w:rsid w:val="000B7430"/>
    <w:rsid w:val="000B919C"/>
    <w:rsid w:val="000C0948"/>
    <w:rsid w:val="000C1DB5"/>
    <w:rsid w:val="000C4ED5"/>
    <w:rsid w:val="000C539E"/>
    <w:rsid w:val="000C54F9"/>
    <w:rsid w:val="000C5913"/>
    <w:rsid w:val="000C7190"/>
    <w:rsid w:val="000C7475"/>
    <w:rsid w:val="000C7D6F"/>
    <w:rsid w:val="000D02E8"/>
    <w:rsid w:val="000D0CBC"/>
    <w:rsid w:val="000D20ED"/>
    <w:rsid w:val="000D2245"/>
    <w:rsid w:val="000D24D9"/>
    <w:rsid w:val="000D2AF1"/>
    <w:rsid w:val="000D2CB3"/>
    <w:rsid w:val="000D4181"/>
    <w:rsid w:val="000D5F4A"/>
    <w:rsid w:val="000D6B2A"/>
    <w:rsid w:val="000D72FD"/>
    <w:rsid w:val="000E0733"/>
    <w:rsid w:val="000E0A32"/>
    <w:rsid w:val="000E15AA"/>
    <w:rsid w:val="000E1832"/>
    <w:rsid w:val="000E5749"/>
    <w:rsid w:val="000E622B"/>
    <w:rsid w:val="000E67A4"/>
    <w:rsid w:val="000E7E8F"/>
    <w:rsid w:val="000F3082"/>
    <w:rsid w:val="000F5235"/>
    <w:rsid w:val="000F54F5"/>
    <w:rsid w:val="000F5D41"/>
    <w:rsid w:val="000F5F7B"/>
    <w:rsid w:val="000F68A4"/>
    <w:rsid w:val="000F6B4F"/>
    <w:rsid w:val="000F6B79"/>
    <w:rsid w:val="000F7D74"/>
    <w:rsid w:val="0010038B"/>
    <w:rsid w:val="00102491"/>
    <w:rsid w:val="0010281D"/>
    <w:rsid w:val="00102BB8"/>
    <w:rsid w:val="0010521B"/>
    <w:rsid w:val="001059C8"/>
    <w:rsid w:val="001064D5"/>
    <w:rsid w:val="001079D8"/>
    <w:rsid w:val="0011111D"/>
    <w:rsid w:val="001119EE"/>
    <w:rsid w:val="0011326E"/>
    <w:rsid w:val="0011393E"/>
    <w:rsid w:val="001150CD"/>
    <w:rsid w:val="00117F81"/>
    <w:rsid w:val="00117FEC"/>
    <w:rsid w:val="00120110"/>
    <w:rsid w:val="0012032E"/>
    <w:rsid w:val="00120892"/>
    <w:rsid w:val="00122FD5"/>
    <w:rsid w:val="00123482"/>
    <w:rsid w:val="001250B9"/>
    <w:rsid w:val="001259D2"/>
    <w:rsid w:val="00126F48"/>
    <w:rsid w:val="001315DA"/>
    <w:rsid w:val="00132BA3"/>
    <w:rsid w:val="00133550"/>
    <w:rsid w:val="001337C6"/>
    <w:rsid w:val="00133B3C"/>
    <w:rsid w:val="001346AC"/>
    <w:rsid w:val="00134A46"/>
    <w:rsid w:val="001360E6"/>
    <w:rsid w:val="00137ACE"/>
    <w:rsid w:val="00140215"/>
    <w:rsid w:val="00140303"/>
    <w:rsid w:val="00141590"/>
    <w:rsid w:val="0014199A"/>
    <w:rsid w:val="00141D8C"/>
    <w:rsid w:val="00142468"/>
    <w:rsid w:val="00143641"/>
    <w:rsid w:val="001440C9"/>
    <w:rsid w:val="001449D4"/>
    <w:rsid w:val="00144BC8"/>
    <w:rsid w:val="00145347"/>
    <w:rsid w:val="001466FE"/>
    <w:rsid w:val="0015030B"/>
    <w:rsid w:val="00150E67"/>
    <w:rsid w:val="00151BF8"/>
    <w:rsid w:val="00151EC2"/>
    <w:rsid w:val="00152D67"/>
    <w:rsid w:val="00153017"/>
    <w:rsid w:val="00153401"/>
    <w:rsid w:val="00154FE3"/>
    <w:rsid w:val="0015532F"/>
    <w:rsid w:val="00155624"/>
    <w:rsid w:val="001606BF"/>
    <w:rsid w:val="0016083E"/>
    <w:rsid w:val="001612E8"/>
    <w:rsid w:val="00161493"/>
    <w:rsid w:val="001637E3"/>
    <w:rsid w:val="0016532C"/>
    <w:rsid w:val="00165D31"/>
    <w:rsid w:val="001665CF"/>
    <w:rsid w:val="0016F454"/>
    <w:rsid w:val="0017075A"/>
    <w:rsid w:val="00171F24"/>
    <w:rsid w:val="001722FB"/>
    <w:rsid w:val="001723F7"/>
    <w:rsid w:val="00172631"/>
    <w:rsid w:val="00172751"/>
    <w:rsid w:val="001728BE"/>
    <w:rsid w:val="00172A86"/>
    <w:rsid w:val="0017388C"/>
    <w:rsid w:val="0017477F"/>
    <w:rsid w:val="00174A50"/>
    <w:rsid w:val="001763BE"/>
    <w:rsid w:val="0017779B"/>
    <w:rsid w:val="0017F223"/>
    <w:rsid w:val="00180D9F"/>
    <w:rsid w:val="0018111B"/>
    <w:rsid w:val="00182AA7"/>
    <w:rsid w:val="00182FC3"/>
    <w:rsid w:val="001832FF"/>
    <w:rsid w:val="001839C0"/>
    <w:rsid w:val="00184AA4"/>
    <w:rsid w:val="00185427"/>
    <w:rsid w:val="00185E56"/>
    <w:rsid w:val="001871C1"/>
    <w:rsid w:val="00187760"/>
    <w:rsid w:val="00187C4B"/>
    <w:rsid w:val="00190740"/>
    <w:rsid w:val="0019278B"/>
    <w:rsid w:val="00192AF0"/>
    <w:rsid w:val="0019381B"/>
    <w:rsid w:val="00193990"/>
    <w:rsid w:val="00194322"/>
    <w:rsid w:val="001946BA"/>
    <w:rsid w:val="00195ABC"/>
    <w:rsid w:val="00196AF5"/>
    <w:rsid w:val="00197523"/>
    <w:rsid w:val="001A0143"/>
    <w:rsid w:val="001A01D4"/>
    <w:rsid w:val="001A03B4"/>
    <w:rsid w:val="001A07D5"/>
    <w:rsid w:val="001A0AA1"/>
    <w:rsid w:val="001A0D3D"/>
    <w:rsid w:val="001A2839"/>
    <w:rsid w:val="001A5152"/>
    <w:rsid w:val="001A51D8"/>
    <w:rsid w:val="001A615D"/>
    <w:rsid w:val="001A6327"/>
    <w:rsid w:val="001A6D22"/>
    <w:rsid w:val="001B0414"/>
    <w:rsid w:val="001B10D3"/>
    <w:rsid w:val="001B3DD3"/>
    <w:rsid w:val="001B4FFE"/>
    <w:rsid w:val="001B50F1"/>
    <w:rsid w:val="001B5E4E"/>
    <w:rsid w:val="001B765D"/>
    <w:rsid w:val="001BE664"/>
    <w:rsid w:val="001C072C"/>
    <w:rsid w:val="001C0BA3"/>
    <w:rsid w:val="001C5730"/>
    <w:rsid w:val="001C6099"/>
    <w:rsid w:val="001C6C9C"/>
    <w:rsid w:val="001C6E7F"/>
    <w:rsid w:val="001C7C55"/>
    <w:rsid w:val="001D1077"/>
    <w:rsid w:val="001D2480"/>
    <w:rsid w:val="001D368B"/>
    <w:rsid w:val="001D3D96"/>
    <w:rsid w:val="001D4A26"/>
    <w:rsid w:val="001D4EBC"/>
    <w:rsid w:val="001D531F"/>
    <w:rsid w:val="001D5BB9"/>
    <w:rsid w:val="001D6FE3"/>
    <w:rsid w:val="001D7745"/>
    <w:rsid w:val="001E05FE"/>
    <w:rsid w:val="001E0F56"/>
    <w:rsid w:val="001E1A1A"/>
    <w:rsid w:val="001E201A"/>
    <w:rsid w:val="001E2DEB"/>
    <w:rsid w:val="001E428C"/>
    <w:rsid w:val="001E6730"/>
    <w:rsid w:val="001E68B5"/>
    <w:rsid w:val="001E74DE"/>
    <w:rsid w:val="001F031D"/>
    <w:rsid w:val="001F232D"/>
    <w:rsid w:val="001F32B6"/>
    <w:rsid w:val="001F3821"/>
    <w:rsid w:val="001F5A7B"/>
    <w:rsid w:val="001F678B"/>
    <w:rsid w:val="001F7001"/>
    <w:rsid w:val="001F7B7A"/>
    <w:rsid w:val="00200A6C"/>
    <w:rsid w:val="00200FB0"/>
    <w:rsid w:val="0020119E"/>
    <w:rsid w:val="00201D80"/>
    <w:rsid w:val="002030EE"/>
    <w:rsid w:val="0020358A"/>
    <w:rsid w:val="00204A4E"/>
    <w:rsid w:val="002052BF"/>
    <w:rsid w:val="00207600"/>
    <w:rsid w:val="00211821"/>
    <w:rsid w:val="002124B2"/>
    <w:rsid w:val="0021310E"/>
    <w:rsid w:val="00214A0B"/>
    <w:rsid w:val="0021634B"/>
    <w:rsid w:val="002172B9"/>
    <w:rsid w:val="00220211"/>
    <w:rsid w:val="00222CB0"/>
    <w:rsid w:val="00223A65"/>
    <w:rsid w:val="00226D3A"/>
    <w:rsid w:val="002271BD"/>
    <w:rsid w:val="002275F9"/>
    <w:rsid w:val="00227D62"/>
    <w:rsid w:val="002313E6"/>
    <w:rsid w:val="0023156F"/>
    <w:rsid w:val="00231EEB"/>
    <w:rsid w:val="00232717"/>
    <w:rsid w:val="002328D0"/>
    <w:rsid w:val="0023465E"/>
    <w:rsid w:val="00234862"/>
    <w:rsid w:val="00235070"/>
    <w:rsid w:val="002370D2"/>
    <w:rsid w:val="002371C8"/>
    <w:rsid w:val="002403AC"/>
    <w:rsid w:val="00240576"/>
    <w:rsid w:val="0024366D"/>
    <w:rsid w:val="00244F14"/>
    <w:rsid w:val="00244F77"/>
    <w:rsid w:val="002454B7"/>
    <w:rsid w:val="00246A01"/>
    <w:rsid w:val="00246E95"/>
    <w:rsid w:val="00246EB0"/>
    <w:rsid w:val="00247B4D"/>
    <w:rsid w:val="002505B2"/>
    <w:rsid w:val="00250FB9"/>
    <w:rsid w:val="00251431"/>
    <w:rsid w:val="0025225A"/>
    <w:rsid w:val="00254175"/>
    <w:rsid w:val="00255366"/>
    <w:rsid w:val="0025631E"/>
    <w:rsid w:val="00256831"/>
    <w:rsid w:val="00256A1C"/>
    <w:rsid w:val="00257744"/>
    <w:rsid w:val="00260207"/>
    <w:rsid w:val="002605A7"/>
    <w:rsid w:val="00262995"/>
    <w:rsid w:val="00262D41"/>
    <w:rsid w:val="00262E7A"/>
    <w:rsid w:val="00263303"/>
    <w:rsid w:val="00264A14"/>
    <w:rsid w:val="00266C32"/>
    <w:rsid w:val="0027064B"/>
    <w:rsid w:val="00270D7D"/>
    <w:rsid w:val="0027188E"/>
    <w:rsid w:val="00272E21"/>
    <w:rsid w:val="002737C1"/>
    <w:rsid w:val="00274178"/>
    <w:rsid w:val="002758F9"/>
    <w:rsid w:val="0027635B"/>
    <w:rsid w:val="00277839"/>
    <w:rsid w:val="00280469"/>
    <w:rsid w:val="002822B7"/>
    <w:rsid w:val="00282D12"/>
    <w:rsid w:val="002858AB"/>
    <w:rsid w:val="0028602A"/>
    <w:rsid w:val="00286BC4"/>
    <w:rsid w:val="00286BF5"/>
    <w:rsid w:val="002874F8"/>
    <w:rsid w:val="0028777D"/>
    <w:rsid w:val="0029138F"/>
    <w:rsid w:val="00292C02"/>
    <w:rsid w:val="00292D5C"/>
    <w:rsid w:val="00293C18"/>
    <w:rsid w:val="00293D95"/>
    <w:rsid w:val="002940A9"/>
    <w:rsid w:val="0029449B"/>
    <w:rsid w:val="002949E2"/>
    <w:rsid w:val="00295231"/>
    <w:rsid w:val="00296086"/>
    <w:rsid w:val="00296274"/>
    <w:rsid w:val="002A1213"/>
    <w:rsid w:val="002A15B5"/>
    <w:rsid w:val="002A160D"/>
    <w:rsid w:val="002A3770"/>
    <w:rsid w:val="002A454E"/>
    <w:rsid w:val="002A4580"/>
    <w:rsid w:val="002A4C7E"/>
    <w:rsid w:val="002A59C9"/>
    <w:rsid w:val="002A60D3"/>
    <w:rsid w:val="002A6A7B"/>
    <w:rsid w:val="002A7B31"/>
    <w:rsid w:val="002B02C0"/>
    <w:rsid w:val="002B1AF6"/>
    <w:rsid w:val="002B2EE6"/>
    <w:rsid w:val="002B39C5"/>
    <w:rsid w:val="002C2BF9"/>
    <w:rsid w:val="002C390C"/>
    <w:rsid w:val="002C4426"/>
    <w:rsid w:val="002C4461"/>
    <w:rsid w:val="002C4FCB"/>
    <w:rsid w:val="002C6688"/>
    <w:rsid w:val="002C6A9A"/>
    <w:rsid w:val="002C7458"/>
    <w:rsid w:val="002D1AD1"/>
    <w:rsid w:val="002D4302"/>
    <w:rsid w:val="002D4F80"/>
    <w:rsid w:val="002D514C"/>
    <w:rsid w:val="002D6304"/>
    <w:rsid w:val="002D6828"/>
    <w:rsid w:val="002D6D7F"/>
    <w:rsid w:val="002D6F5D"/>
    <w:rsid w:val="002D74B0"/>
    <w:rsid w:val="002E031C"/>
    <w:rsid w:val="002E05F2"/>
    <w:rsid w:val="002E0F10"/>
    <w:rsid w:val="002E1C25"/>
    <w:rsid w:val="002E1CC2"/>
    <w:rsid w:val="002E33D8"/>
    <w:rsid w:val="002E6BAD"/>
    <w:rsid w:val="002F40F3"/>
    <w:rsid w:val="002F4205"/>
    <w:rsid w:val="002F4D5E"/>
    <w:rsid w:val="002F5085"/>
    <w:rsid w:val="002F62C7"/>
    <w:rsid w:val="002F66CE"/>
    <w:rsid w:val="002F6D64"/>
    <w:rsid w:val="00300035"/>
    <w:rsid w:val="003028E6"/>
    <w:rsid w:val="003029B6"/>
    <w:rsid w:val="00304B49"/>
    <w:rsid w:val="00304EF0"/>
    <w:rsid w:val="00304F4A"/>
    <w:rsid w:val="00307834"/>
    <w:rsid w:val="003107FE"/>
    <w:rsid w:val="00310EA2"/>
    <w:rsid w:val="0031219B"/>
    <w:rsid w:val="0031595A"/>
    <w:rsid w:val="00316585"/>
    <w:rsid w:val="00316ACB"/>
    <w:rsid w:val="00316CF6"/>
    <w:rsid w:val="00316FB0"/>
    <w:rsid w:val="0032081E"/>
    <w:rsid w:val="00322D7E"/>
    <w:rsid w:val="00322F51"/>
    <w:rsid w:val="00322FF3"/>
    <w:rsid w:val="003231CF"/>
    <w:rsid w:val="0032329E"/>
    <w:rsid w:val="00323F7C"/>
    <w:rsid w:val="00325CDA"/>
    <w:rsid w:val="003265CB"/>
    <w:rsid w:val="00330A08"/>
    <w:rsid w:val="00331372"/>
    <w:rsid w:val="00334C1F"/>
    <w:rsid w:val="00335A8C"/>
    <w:rsid w:val="00335F6D"/>
    <w:rsid w:val="00336A81"/>
    <w:rsid w:val="0034276E"/>
    <w:rsid w:val="00344168"/>
    <w:rsid w:val="00345784"/>
    <w:rsid w:val="00345C8C"/>
    <w:rsid w:val="00347519"/>
    <w:rsid w:val="0034760F"/>
    <w:rsid w:val="00353AF0"/>
    <w:rsid w:val="00354D6F"/>
    <w:rsid w:val="0035611C"/>
    <w:rsid w:val="00361187"/>
    <w:rsid w:val="00361C7A"/>
    <w:rsid w:val="00363B81"/>
    <w:rsid w:val="00363F53"/>
    <w:rsid w:val="00366BDC"/>
    <w:rsid w:val="00366DD3"/>
    <w:rsid w:val="003675F9"/>
    <w:rsid w:val="00372893"/>
    <w:rsid w:val="0037299A"/>
    <w:rsid w:val="00373806"/>
    <w:rsid w:val="00374656"/>
    <w:rsid w:val="003746A0"/>
    <w:rsid w:val="003748B1"/>
    <w:rsid w:val="00374D75"/>
    <w:rsid w:val="003750D8"/>
    <w:rsid w:val="0037557A"/>
    <w:rsid w:val="00376AAA"/>
    <w:rsid w:val="00376C02"/>
    <w:rsid w:val="003775CD"/>
    <w:rsid w:val="00377702"/>
    <w:rsid w:val="00381502"/>
    <w:rsid w:val="00381828"/>
    <w:rsid w:val="00381EA9"/>
    <w:rsid w:val="00382DBA"/>
    <w:rsid w:val="0038355B"/>
    <w:rsid w:val="00383AD0"/>
    <w:rsid w:val="0038490F"/>
    <w:rsid w:val="00384B15"/>
    <w:rsid w:val="003878CC"/>
    <w:rsid w:val="00390FF1"/>
    <w:rsid w:val="0039127F"/>
    <w:rsid w:val="00392051"/>
    <w:rsid w:val="00395FC7"/>
    <w:rsid w:val="003A01D5"/>
    <w:rsid w:val="003A0B30"/>
    <w:rsid w:val="003A2E10"/>
    <w:rsid w:val="003A2F14"/>
    <w:rsid w:val="003A321D"/>
    <w:rsid w:val="003A4FE0"/>
    <w:rsid w:val="003A55CB"/>
    <w:rsid w:val="003A6AE5"/>
    <w:rsid w:val="003A7352"/>
    <w:rsid w:val="003B1476"/>
    <w:rsid w:val="003B1FFE"/>
    <w:rsid w:val="003B3CA7"/>
    <w:rsid w:val="003B40C1"/>
    <w:rsid w:val="003B4ADC"/>
    <w:rsid w:val="003B4B32"/>
    <w:rsid w:val="003B6AAE"/>
    <w:rsid w:val="003C03C6"/>
    <w:rsid w:val="003C33AD"/>
    <w:rsid w:val="003C3CC3"/>
    <w:rsid w:val="003C5A17"/>
    <w:rsid w:val="003C5A37"/>
    <w:rsid w:val="003C6E2A"/>
    <w:rsid w:val="003C6E34"/>
    <w:rsid w:val="003C7FA2"/>
    <w:rsid w:val="003D107C"/>
    <w:rsid w:val="003D1D3B"/>
    <w:rsid w:val="003D27DE"/>
    <w:rsid w:val="003D2A4A"/>
    <w:rsid w:val="003D32F0"/>
    <w:rsid w:val="003D4EBA"/>
    <w:rsid w:val="003D686B"/>
    <w:rsid w:val="003D68AB"/>
    <w:rsid w:val="003D776E"/>
    <w:rsid w:val="003E18C5"/>
    <w:rsid w:val="003E2CF3"/>
    <w:rsid w:val="003E2F86"/>
    <w:rsid w:val="003E3397"/>
    <w:rsid w:val="003E4D74"/>
    <w:rsid w:val="003E5F39"/>
    <w:rsid w:val="003E662A"/>
    <w:rsid w:val="003ED5AB"/>
    <w:rsid w:val="003F05BE"/>
    <w:rsid w:val="003F0A33"/>
    <w:rsid w:val="003F15CC"/>
    <w:rsid w:val="003F170B"/>
    <w:rsid w:val="003F2D15"/>
    <w:rsid w:val="003F3880"/>
    <w:rsid w:val="003F41F4"/>
    <w:rsid w:val="003F5771"/>
    <w:rsid w:val="003F5EE8"/>
    <w:rsid w:val="003F6E26"/>
    <w:rsid w:val="003F708A"/>
    <w:rsid w:val="003F76E4"/>
    <w:rsid w:val="003F7D60"/>
    <w:rsid w:val="0040018C"/>
    <w:rsid w:val="00401C5D"/>
    <w:rsid w:val="004023DC"/>
    <w:rsid w:val="00403FD3"/>
    <w:rsid w:val="00404F0F"/>
    <w:rsid w:val="00405283"/>
    <w:rsid w:val="00405B40"/>
    <w:rsid w:val="00406E28"/>
    <w:rsid w:val="004071BA"/>
    <w:rsid w:val="00407E21"/>
    <w:rsid w:val="00411185"/>
    <w:rsid w:val="004130BF"/>
    <w:rsid w:val="0041471C"/>
    <w:rsid w:val="004167B1"/>
    <w:rsid w:val="004169DB"/>
    <w:rsid w:val="004179F2"/>
    <w:rsid w:val="00419DFD"/>
    <w:rsid w:val="00421795"/>
    <w:rsid w:val="00422298"/>
    <w:rsid w:val="004224CB"/>
    <w:rsid w:val="00422C13"/>
    <w:rsid w:val="00423940"/>
    <w:rsid w:val="00423ABE"/>
    <w:rsid w:val="00423F7B"/>
    <w:rsid w:val="00424A72"/>
    <w:rsid w:val="00424C09"/>
    <w:rsid w:val="00425232"/>
    <w:rsid w:val="0042692B"/>
    <w:rsid w:val="00431F0C"/>
    <w:rsid w:val="00432425"/>
    <w:rsid w:val="004325D1"/>
    <w:rsid w:val="00432E36"/>
    <w:rsid w:val="004343C1"/>
    <w:rsid w:val="00434976"/>
    <w:rsid w:val="00434F54"/>
    <w:rsid w:val="0043630F"/>
    <w:rsid w:val="004402F4"/>
    <w:rsid w:val="004406E5"/>
    <w:rsid w:val="004408E2"/>
    <w:rsid w:val="0044109C"/>
    <w:rsid w:val="0044159D"/>
    <w:rsid w:val="00442981"/>
    <w:rsid w:val="00442A90"/>
    <w:rsid w:val="00442D75"/>
    <w:rsid w:val="00443A1D"/>
    <w:rsid w:val="00446408"/>
    <w:rsid w:val="00446F6C"/>
    <w:rsid w:val="004478FA"/>
    <w:rsid w:val="00452253"/>
    <w:rsid w:val="004528FF"/>
    <w:rsid w:val="00453265"/>
    <w:rsid w:val="004534B6"/>
    <w:rsid w:val="004541C4"/>
    <w:rsid w:val="004552E6"/>
    <w:rsid w:val="00455C82"/>
    <w:rsid w:val="00455EC0"/>
    <w:rsid w:val="0045654F"/>
    <w:rsid w:val="0045787E"/>
    <w:rsid w:val="00457AF5"/>
    <w:rsid w:val="00457F74"/>
    <w:rsid w:val="0045A293"/>
    <w:rsid w:val="0045BCC7"/>
    <w:rsid w:val="00460406"/>
    <w:rsid w:val="00461522"/>
    <w:rsid w:val="0046220D"/>
    <w:rsid w:val="004634A7"/>
    <w:rsid w:val="0046412E"/>
    <w:rsid w:val="00466E35"/>
    <w:rsid w:val="00469F77"/>
    <w:rsid w:val="00470DD0"/>
    <w:rsid w:val="004727F0"/>
    <w:rsid w:val="00472919"/>
    <w:rsid w:val="00474080"/>
    <w:rsid w:val="004748E3"/>
    <w:rsid w:val="004762D2"/>
    <w:rsid w:val="00476642"/>
    <w:rsid w:val="004775AA"/>
    <w:rsid w:val="004800D0"/>
    <w:rsid w:val="00481190"/>
    <w:rsid w:val="00482629"/>
    <w:rsid w:val="00484406"/>
    <w:rsid w:val="0048681C"/>
    <w:rsid w:val="0048751F"/>
    <w:rsid w:val="00491E6E"/>
    <w:rsid w:val="00492543"/>
    <w:rsid w:val="00493553"/>
    <w:rsid w:val="004972A2"/>
    <w:rsid w:val="004A13EE"/>
    <w:rsid w:val="004A25A1"/>
    <w:rsid w:val="004A2EF4"/>
    <w:rsid w:val="004A2FA4"/>
    <w:rsid w:val="004A3672"/>
    <w:rsid w:val="004A3D5E"/>
    <w:rsid w:val="004A4042"/>
    <w:rsid w:val="004A5131"/>
    <w:rsid w:val="004A7031"/>
    <w:rsid w:val="004A73B4"/>
    <w:rsid w:val="004A7464"/>
    <w:rsid w:val="004A7492"/>
    <w:rsid w:val="004B0713"/>
    <w:rsid w:val="004B0DBF"/>
    <w:rsid w:val="004B0E1A"/>
    <w:rsid w:val="004B1C9C"/>
    <w:rsid w:val="004B33E9"/>
    <w:rsid w:val="004B3836"/>
    <w:rsid w:val="004B47AF"/>
    <w:rsid w:val="004B528E"/>
    <w:rsid w:val="004B53C9"/>
    <w:rsid w:val="004B5639"/>
    <w:rsid w:val="004B6262"/>
    <w:rsid w:val="004B6770"/>
    <w:rsid w:val="004B7DC2"/>
    <w:rsid w:val="004C0337"/>
    <w:rsid w:val="004C083C"/>
    <w:rsid w:val="004C15B4"/>
    <w:rsid w:val="004C2666"/>
    <w:rsid w:val="004C2703"/>
    <w:rsid w:val="004C4096"/>
    <w:rsid w:val="004C494F"/>
    <w:rsid w:val="004C608C"/>
    <w:rsid w:val="004C61E1"/>
    <w:rsid w:val="004C6C8B"/>
    <w:rsid w:val="004C6D3E"/>
    <w:rsid w:val="004D09BB"/>
    <w:rsid w:val="004D0D45"/>
    <w:rsid w:val="004D1192"/>
    <w:rsid w:val="004D1284"/>
    <w:rsid w:val="004D1915"/>
    <w:rsid w:val="004D27EC"/>
    <w:rsid w:val="004D39D8"/>
    <w:rsid w:val="004D4185"/>
    <w:rsid w:val="004D4C0A"/>
    <w:rsid w:val="004D51D3"/>
    <w:rsid w:val="004D62F3"/>
    <w:rsid w:val="004D7033"/>
    <w:rsid w:val="004D759B"/>
    <w:rsid w:val="004E0159"/>
    <w:rsid w:val="004E28FE"/>
    <w:rsid w:val="004E3A19"/>
    <w:rsid w:val="004E413F"/>
    <w:rsid w:val="004E4538"/>
    <w:rsid w:val="004E4EAD"/>
    <w:rsid w:val="004E5579"/>
    <w:rsid w:val="004E5A83"/>
    <w:rsid w:val="004E76DE"/>
    <w:rsid w:val="004F0E2B"/>
    <w:rsid w:val="004F1AC4"/>
    <w:rsid w:val="004F1D43"/>
    <w:rsid w:val="004F1E2F"/>
    <w:rsid w:val="004F3BCD"/>
    <w:rsid w:val="004F466F"/>
    <w:rsid w:val="004F4838"/>
    <w:rsid w:val="004F4F8D"/>
    <w:rsid w:val="004F6AE3"/>
    <w:rsid w:val="004F71FE"/>
    <w:rsid w:val="004F7663"/>
    <w:rsid w:val="004F7908"/>
    <w:rsid w:val="004F7AF8"/>
    <w:rsid w:val="00500F05"/>
    <w:rsid w:val="005014EE"/>
    <w:rsid w:val="00501A3E"/>
    <w:rsid w:val="00501CE8"/>
    <w:rsid w:val="0050223F"/>
    <w:rsid w:val="00502C0D"/>
    <w:rsid w:val="00505749"/>
    <w:rsid w:val="00510BEB"/>
    <w:rsid w:val="0051220E"/>
    <w:rsid w:val="00513538"/>
    <w:rsid w:val="00513715"/>
    <w:rsid w:val="0051377B"/>
    <w:rsid w:val="00513A37"/>
    <w:rsid w:val="005203D0"/>
    <w:rsid w:val="005206D3"/>
    <w:rsid w:val="00520D03"/>
    <w:rsid w:val="00521912"/>
    <w:rsid w:val="00522049"/>
    <w:rsid w:val="00522477"/>
    <w:rsid w:val="005244E8"/>
    <w:rsid w:val="0052453A"/>
    <w:rsid w:val="005246C5"/>
    <w:rsid w:val="00524BBE"/>
    <w:rsid w:val="00525FA9"/>
    <w:rsid w:val="00526AB2"/>
    <w:rsid w:val="00526BB7"/>
    <w:rsid w:val="005275A1"/>
    <w:rsid w:val="00527EAC"/>
    <w:rsid w:val="00527EF9"/>
    <w:rsid w:val="0053094B"/>
    <w:rsid w:val="0053236F"/>
    <w:rsid w:val="00534943"/>
    <w:rsid w:val="00534B2E"/>
    <w:rsid w:val="005363AE"/>
    <w:rsid w:val="00536F13"/>
    <w:rsid w:val="00537840"/>
    <w:rsid w:val="00537DBC"/>
    <w:rsid w:val="005421B8"/>
    <w:rsid w:val="00542818"/>
    <w:rsid w:val="00542D78"/>
    <w:rsid w:val="005440A0"/>
    <w:rsid w:val="00544C0A"/>
    <w:rsid w:val="00544CAC"/>
    <w:rsid w:val="005450D3"/>
    <w:rsid w:val="00545304"/>
    <w:rsid w:val="0054545C"/>
    <w:rsid w:val="00545D93"/>
    <w:rsid w:val="0054647B"/>
    <w:rsid w:val="00546ED6"/>
    <w:rsid w:val="00547540"/>
    <w:rsid w:val="00547B51"/>
    <w:rsid w:val="00551CEA"/>
    <w:rsid w:val="00552183"/>
    <w:rsid w:val="005537A3"/>
    <w:rsid w:val="005537AA"/>
    <w:rsid w:val="005537CD"/>
    <w:rsid w:val="00555712"/>
    <w:rsid w:val="0055671F"/>
    <w:rsid w:val="00557676"/>
    <w:rsid w:val="005601CA"/>
    <w:rsid w:val="00561C41"/>
    <w:rsid w:val="00562187"/>
    <w:rsid w:val="00570254"/>
    <w:rsid w:val="00570664"/>
    <w:rsid w:val="0057258E"/>
    <w:rsid w:val="00573C07"/>
    <w:rsid w:val="00576006"/>
    <w:rsid w:val="005767BF"/>
    <w:rsid w:val="00580544"/>
    <w:rsid w:val="005810EE"/>
    <w:rsid w:val="00582E63"/>
    <w:rsid w:val="00583B21"/>
    <w:rsid w:val="00584A35"/>
    <w:rsid w:val="0058515E"/>
    <w:rsid w:val="0058521E"/>
    <w:rsid w:val="00590EA7"/>
    <w:rsid w:val="005913D4"/>
    <w:rsid w:val="00591569"/>
    <w:rsid w:val="00591A5E"/>
    <w:rsid w:val="00592401"/>
    <w:rsid w:val="0059327D"/>
    <w:rsid w:val="0059701E"/>
    <w:rsid w:val="00597736"/>
    <w:rsid w:val="00597C93"/>
    <w:rsid w:val="005A1055"/>
    <w:rsid w:val="005A5AE0"/>
    <w:rsid w:val="005A6451"/>
    <w:rsid w:val="005A756D"/>
    <w:rsid w:val="005B0626"/>
    <w:rsid w:val="005B1558"/>
    <w:rsid w:val="005B1606"/>
    <w:rsid w:val="005B26C7"/>
    <w:rsid w:val="005B32E2"/>
    <w:rsid w:val="005B3AED"/>
    <w:rsid w:val="005B697D"/>
    <w:rsid w:val="005B7268"/>
    <w:rsid w:val="005B737D"/>
    <w:rsid w:val="005B7451"/>
    <w:rsid w:val="005C0804"/>
    <w:rsid w:val="005C087E"/>
    <w:rsid w:val="005C08A3"/>
    <w:rsid w:val="005C08E2"/>
    <w:rsid w:val="005C3193"/>
    <w:rsid w:val="005C3B74"/>
    <w:rsid w:val="005C3FC5"/>
    <w:rsid w:val="005C486E"/>
    <w:rsid w:val="005C5193"/>
    <w:rsid w:val="005C54F8"/>
    <w:rsid w:val="005C5501"/>
    <w:rsid w:val="005C553E"/>
    <w:rsid w:val="005C5853"/>
    <w:rsid w:val="005D0A12"/>
    <w:rsid w:val="005D1000"/>
    <w:rsid w:val="005D1685"/>
    <w:rsid w:val="005D344B"/>
    <w:rsid w:val="005D5128"/>
    <w:rsid w:val="005D5FE4"/>
    <w:rsid w:val="005D6A37"/>
    <w:rsid w:val="005DFEA0"/>
    <w:rsid w:val="005E0F49"/>
    <w:rsid w:val="005E143E"/>
    <w:rsid w:val="005E177B"/>
    <w:rsid w:val="005E2261"/>
    <w:rsid w:val="005E35F0"/>
    <w:rsid w:val="005E3D0C"/>
    <w:rsid w:val="005E5C51"/>
    <w:rsid w:val="005E7373"/>
    <w:rsid w:val="005E77ED"/>
    <w:rsid w:val="005F0DB7"/>
    <w:rsid w:val="005F1F38"/>
    <w:rsid w:val="005F3534"/>
    <w:rsid w:val="005F5ABB"/>
    <w:rsid w:val="005F628F"/>
    <w:rsid w:val="005F6312"/>
    <w:rsid w:val="0060007E"/>
    <w:rsid w:val="006010F0"/>
    <w:rsid w:val="006021AB"/>
    <w:rsid w:val="006025E0"/>
    <w:rsid w:val="00602757"/>
    <w:rsid w:val="00603541"/>
    <w:rsid w:val="0060537C"/>
    <w:rsid w:val="006063B9"/>
    <w:rsid w:val="00607704"/>
    <w:rsid w:val="00611977"/>
    <w:rsid w:val="0061279B"/>
    <w:rsid w:val="00612D36"/>
    <w:rsid w:val="006138E2"/>
    <w:rsid w:val="006148B8"/>
    <w:rsid w:val="00615426"/>
    <w:rsid w:val="006164A2"/>
    <w:rsid w:val="00616D15"/>
    <w:rsid w:val="00620629"/>
    <w:rsid w:val="00621088"/>
    <w:rsid w:val="00621A36"/>
    <w:rsid w:val="00623921"/>
    <w:rsid w:val="00624273"/>
    <w:rsid w:val="00626411"/>
    <w:rsid w:val="0062645A"/>
    <w:rsid w:val="00626830"/>
    <w:rsid w:val="00628B3A"/>
    <w:rsid w:val="00634484"/>
    <w:rsid w:val="006348B0"/>
    <w:rsid w:val="00634B4A"/>
    <w:rsid w:val="00634D3F"/>
    <w:rsid w:val="00635F88"/>
    <w:rsid w:val="006366E5"/>
    <w:rsid w:val="00637336"/>
    <w:rsid w:val="0063D4C1"/>
    <w:rsid w:val="00640A50"/>
    <w:rsid w:val="00640CC6"/>
    <w:rsid w:val="00641CBF"/>
    <w:rsid w:val="0064273A"/>
    <w:rsid w:val="00644B0D"/>
    <w:rsid w:val="00645D75"/>
    <w:rsid w:val="00646768"/>
    <w:rsid w:val="00646ABD"/>
    <w:rsid w:val="00646DF2"/>
    <w:rsid w:val="006473BD"/>
    <w:rsid w:val="00647F4E"/>
    <w:rsid w:val="00652243"/>
    <w:rsid w:val="00653F40"/>
    <w:rsid w:val="00654F98"/>
    <w:rsid w:val="00655443"/>
    <w:rsid w:val="00656D30"/>
    <w:rsid w:val="006602C6"/>
    <w:rsid w:val="00660D12"/>
    <w:rsid w:val="00661B5A"/>
    <w:rsid w:val="00661FFE"/>
    <w:rsid w:val="00664B3D"/>
    <w:rsid w:val="00665E6E"/>
    <w:rsid w:val="006661E0"/>
    <w:rsid w:val="00666DD9"/>
    <w:rsid w:val="006674E4"/>
    <w:rsid w:val="00667D47"/>
    <w:rsid w:val="0067014D"/>
    <w:rsid w:val="00670D77"/>
    <w:rsid w:val="00670E31"/>
    <w:rsid w:val="006718BF"/>
    <w:rsid w:val="00671ACB"/>
    <w:rsid w:val="006730C4"/>
    <w:rsid w:val="00673D8D"/>
    <w:rsid w:val="00673EA6"/>
    <w:rsid w:val="0067448A"/>
    <w:rsid w:val="00675423"/>
    <w:rsid w:val="0067568F"/>
    <w:rsid w:val="00675885"/>
    <w:rsid w:val="00675B21"/>
    <w:rsid w:val="0067668F"/>
    <w:rsid w:val="00676A1E"/>
    <w:rsid w:val="00677054"/>
    <w:rsid w:val="0067705A"/>
    <w:rsid w:val="0067BD90"/>
    <w:rsid w:val="00681C2D"/>
    <w:rsid w:val="00683095"/>
    <w:rsid w:val="00683A88"/>
    <w:rsid w:val="00684CCF"/>
    <w:rsid w:val="00685583"/>
    <w:rsid w:val="00686BEF"/>
    <w:rsid w:val="00687649"/>
    <w:rsid w:val="00687B7F"/>
    <w:rsid w:val="0069029E"/>
    <w:rsid w:val="006931D2"/>
    <w:rsid w:val="006951B8"/>
    <w:rsid w:val="00695B13"/>
    <w:rsid w:val="00697184"/>
    <w:rsid w:val="006971A7"/>
    <w:rsid w:val="006A150F"/>
    <w:rsid w:val="006A2001"/>
    <w:rsid w:val="006A3181"/>
    <w:rsid w:val="006A36B2"/>
    <w:rsid w:val="006A4390"/>
    <w:rsid w:val="006A50F8"/>
    <w:rsid w:val="006A66C5"/>
    <w:rsid w:val="006AEC91"/>
    <w:rsid w:val="006B43C4"/>
    <w:rsid w:val="006B45D1"/>
    <w:rsid w:val="006B49F3"/>
    <w:rsid w:val="006B54AE"/>
    <w:rsid w:val="006B6F81"/>
    <w:rsid w:val="006C05D3"/>
    <w:rsid w:val="006C1E53"/>
    <w:rsid w:val="006C1E69"/>
    <w:rsid w:val="006C2FEB"/>
    <w:rsid w:val="006C3A1E"/>
    <w:rsid w:val="006C404E"/>
    <w:rsid w:val="006C73A8"/>
    <w:rsid w:val="006C77E8"/>
    <w:rsid w:val="006C7A0E"/>
    <w:rsid w:val="006CCD84"/>
    <w:rsid w:val="006D0010"/>
    <w:rsid w:val="006D10A7"/>
    <w:rsid w:val="006D2918"/>
    <w:rsid w:val="006D29E9"/>
    <w:rsid w:val="006D2CC3"/>
    <w:rsid w:val="006D5094"/>
    <w:rsid w:val="006D5AB9"/>
    <w:rsid w:val="006D5B84"/>
    <w:rsid w:val="006E10DE"/>
    <w:rsid w:val="006E1701"/>
    <w:rsid w:val="006E408C"/>
    <w:rsid w:val="006E46AD"/>
    <w:rsid w:val="006E59E8"/>
    <w:rsid w:val="006E5E12"/>
    <w:rsid w:val="006E6E6E"/>
    <w:rsid w:val="006E778F"/>
    <w:rsid w:val="006F0A87"/>
    <w:rsid w:val="006F0C7D"/>
    <w:rsid w:val="006F15F9"/>
    <w:rsid w:val="006F2ECD"/>
    <w:rsid w:val="006F6CE1"/>
    <w:rsid w:val="006F7CE3"/>
    <w:rsid w:val="00701A19"/>
    <w:rsid w:val="00702F5A"/>
    <w:rsid w:val="00703962"/>
    <w:rsid w:val="007044E0"/>
    <w:rsid w:val="007068BF"/>
    <w:rsid w:val="007072C1"/>
    <w:rsid w:val="0070791D"/>
    <w:rsid w:val="007105DE"/>
    <w:rsid w:val="007112A9"/>
    <w:rsid w:val="007119AE"/>
    <w:rsid w:val="00711AE9"/>
    <w:rsid w:val="00713633"/>
    <w:rsid w:val="00713E92"/>
    <w:rsid w:val="00716894"/>
    <w:rsid w:val="00717C52"/>
    <w:rsid w:val="00717E01"/>
    <w:rsid w:val="00717F26"/>
    <w:rsid w:val="00720457"/>
    <w:rsid w:val="007205DA"/>
    <w:rsid w:val="00720E5E"/>
    <w:rsid w:val="007211DD"/>
    <w:rsid w:val="007217C8"/>
    <w:rsid w:val="00722264"/>
    <w:rsid w:val="007236A4"/>
    <w:rsid w:val="007238A4"/>
    <w:rsid w:val="0072445F"/>
    <w:rsid w:val="00724A66"/>
    <w:rsid w:val="007301A2"/>
    <w:rsid w:val="0073161D"/>
    <w:rsid w:val="00736688"/>
    <w:rsid w:val="00742655"/>
    <w:rsid w:val="0074399C"/>
    <w:rsid w:val="00743FB7"/>
    <w:rsid w:val="007443D7"/>
    <w:rsid w:val="00744EE9"/>
    <w:rsid w:val="00746FC4"/>
    <w:rsid w:val="007475A6"/>
    <w:rsid w:val="007500C5"/>
    <w:rsid w:val="00752E18"/>
    <w:rsid w:val="00754610"/>
    <w:rsid w:val="0075510C"/>
    <w:rsid w:val="00756046"/>
    <w:rsid w:val="00756334"/>
    <w:rsid w:val="00756DE4"/>
    <w:rsid w:val="00757065"/>
    <w:rsid w:val="00757568"/>
    <w:rsid w:val="0076023D"/>
    <w:rsid w:val="007617C9"/>
    <w:rsid w:val="007619BD"/>
    <w:rsid w:val="00763F53"/>
    <w:rsid w:val="00765F6E"/>
    <w:rsid w:val="00766067"/>
    <w:rsid w:val="0076629A"/>
    <w:rsid w:val="0076691C"/>
    <w:rsid w:val="00766FEF"/>
    <w:rsid w:val="00770508"/>
    <w:rsid w:val="00771472"/>
    <w:rsid w:val="0077198E"/>
    <w:rsid w:val="007722F5"/>
    <w:rsid w:val="007732A6"/>
    <w:rsid w:val="0077379A"/>
    <w:rsid w:val="007744FC"/>
    <w:rsid w:val="007751E7"/>
    <w:rsid w:val="00780ECD"/>
    <w:rsid w:val="0078186C"/>
    <w:rsid w:val="00781A09"/>
    <w:rsid w:val="00782A6A"/>
    <w:rsid w:val="00782F50"/>
    <w:rsid w:val="00783446"/>
    <w:rsid w:val="0078374E"/>
    <w:rsid w:val="00785AE8"/>
    <w:rsid w:val="00785DAA"/>
    <w:rsid w:val="00787267"/>
    <w:rsid w:val="007878D5"/>
    <w:rsid w:val="007900AD"/>
    <w:rsid w:val="00790B21"/>
    <w:rsid w:val="00790DEB"/>
    <w:rsid w:val="00792575"/>
    <w:rsid w:val="007925ED"/>
    <w:rsid w:val="007926A0"/>
    <w:rsid w:val="007928C6"/>
    <w:rsid w:val="00793DAC"/>
    <w:rsid w:val="007956A5"/>
    <w:rsid w:val="00797309"/>
    <w:rsid w:val="007A0037"/>
    <w:rsid w:val="007A016A"/>
    <w:rsid w:val="007A0203"/>
    <w:rsid w:val="007A044B"/>
    <w:rsid w:val="007A1142"/>
    <w:rsid w:val="007A577D"/>
    <w:rsid w:val="007A6180"/>
    <w:rsid w:val="007A788F"/>
    <w:rsid w:val="007B0083"/>
    <w:rsid w:val="007B14DA"/>
    <w:rsid w:val="007B2CF9"/>
    <w:rsid w:val="007B37C9"/>
    <w:rsid w:val="007B5507"/>
    <w:rsid w:val="007B58A5"/>
    <w:rsid w:val="007B69CD"/>
    <w:rsid w:val="007B6CEC"/>
    <w:rsid w:val="007B72E2"/>
    <w:rsid w:val="007C13EE"/>
    <w:rsid w:val="007C1D09"/>
    <w:rsid w:val="007C1E11"/>
    <w:rsid w:val="007C2036"/>
    <w:rsid w:val="007C44DB"/>
    <w:rsid w:val="007C4712"/>
    <w:rsid w:val="007C598D"/>
    <w:rsid w:val="007C5BAE"/>
    <w:rsid w:val="007D065F"/>
    <w:rsid w:val="007D2303"/>
    <w:rsid w:val="007D2645"/>
    <w:rsid w:val="007D2C3F"/>
    <w:rsid w:val="007D3584"/>
    <w:rsid w:val="007D3E06"/>
    <w:rsid w:val="007D4484"/>
    <w:rsid w:val="007D459E"/>
    <w:rsid w:val="007D46C7"/>
    <w:rsid w:val="007D528B"/>
    <w:rsid w:val="007D54CF"/>
    <w:rsid w:val="007D579A"/>
    <w:rsid w:val="007D6A7D"/>
    <w:rsid w:val="007E0ACD"/>
    <w:rsid w:val="007E2D50"/>
    <w:rsid w:val="007E3266"/>
    <w:rsid w:val="007E3406"/>
    <w:rsid w:val="007E3669"/>
    <w:rsid w:val="007E519D"/>
    <w:rsid w:val="007E5E90"/>
    <w:rsid w:val="007F358E"/>
    <w:rsid w:val="007F4A99"/>
    <w:rsid w:val="0080037C"/>
    <w:rsid w:val="008020A7"/>
    <w:rsid w:val="00802402"/>
    <w:rsid w:val="00802ECB"/>
    <w:rsid w:val="00803BCD"/>
    <w:rsid w:val="00804280"/>
    <w:rsid w:val="00804329"/>
    <w:rsid w:val="00807866"/>
    <w:rsid w:val="00811C56"/>
    <w:rsid w:val="00811DE3"/>
    <w:rsid w:val="00815AF8"/>
    <w:rsid w:val="00816316"/>
    <w:rsid w:val="00816840"/>
    <w:rsid w:val="008170E4"/>
    <w:rsid w:val="00817F8C"/>
    <w:rsid w:val="0082026A"/>
    <w:rsid w:val="008206B8"/>
    <w:rsid w:val="00820805"/>
    <w:rsid w:val="0082084F"/>
    <w:rsid w:val="00821DF9"/>
    <w:rsid w:val="008222C9"/>
    <w:rsid w:val="00822E98"/>
    <w:rsid w:val="00824165"/>
    <w:rsid w:val="00824517"/>
    <w:rsid w:val="0082617E"/>
    <w:rsid w:val="008279FB"/>
    <w:rsid w:val="00830CB0"/>
    <w:rsid w:val="00832297"/>
    <w:rsid w:val="00832736"/>
    <w:rsid w:val="00833AFC"/>
    <w:rsid w:val="00833D74"/>
    <w:rsid w:val="0083595A"/>
    <w:rsid w:val="008401F8"/>
    <w:rsid w:val="008403E3"/>
    <w:rsid w:val="00841F09"/>
    <w:rsid w:val="00843B45"/>
    <w:rsid w:val="00844079"/>
    <w:rsid w:val="008455F1"/>
    <w:rsid w:val="0084CFE1"/>
    <w:rsid w:val="00852AFC"/>
    <w:rsid w:val="0085308A"/>
    <w:rsid w:val="00853BCE"/>
    <w:rsid w:val="00855AD7"/>
    <w:rsid w:val="00855C67"/>
    <w:rsid w:val="008570AC"/>
    <w:rsid w:val="00857599"/>
    <w:rsid w:val="00860059"/>
    <w:rsid w:val="00861474"/>
    <w:rsid w:val="00863A07"/>
    <w:rsid w:val="00866997"/>
    <w:rsid w:val="00870BAB"/>
    <w:rsid w:val="0087453E"/>
    <w:rsid w:val="00874C11"/>
    <w:rsid w:val="008753B2"/>
    <w:rsid w:val="0087594B"/>
    <w:rsid w:val="00877F08"/>
    <w:rsid w:val="00880345"/>
    <w:rsid w:val="00881962"/>
    <w:rsid w:val="00881C97"/>
    <w:rsid w:val="00881CF3"/>
    <w:rsid w:val="00881D51"/>
    <w:rsid w:val="00883BA8"/>
    <w:rsid w:val="00884A41"/>
    <w:rsid w:val="00885F07"/>
    <w:rsid w:val="008864FA"/>
    <w:rsid w:val="00886C68"/>
    <w:rsid w:val="00887711"/>
    <w:rsid w:val="008900B1"/>
    <w:rsid w:val="00891F58"/>
    <w:rsid w:val="008938C9"/>
    <w:rsid w:val="00893CB3"/>
    <w:rsid w:val="00894303"/>
    <w:rsid w:val="008945A3"/>
    <w:rsid w:val="008957C3"/>
    <w:rsid w:val="0089604F"/>
    <w:rsid w:val="00896A4A"/>
    <w:rsid w:val="00896D8F"/>
    <w:rsid w:val="0089BE5F"/>
    <w:rsid w:val="008A32F3"/>
    <w:rsid w:val="008A3301"/>
    <w:rsid w:val="008A5714"/>
    <w:rsid w:val="008A5A04"/>
    <w:rsid w:val="008A7A70"/>
    <w:rsid w:val="008B1BD8"/>
    <w:rsid w:val="008B215E"/>
    <w:rsid w:val="008B2579"/>
    <w:rsid w:val="008B2E2A"/>
    <w:rsid w:val="008B3D60"/>
    <w:rsid w:val="008C119F"/>
    <w:rsid w:val="008C1390"/>
    <w:rsid w:val="008C196C"/>
    <w:rsid w:val="008C36D3"/>
    <w:rsid w:val="008C3ED0"/>
    <w:rsid w:val="008C4B54"/>
    <w:rsid w:val="008C5193"/>
    <w:rsid w:val="008C581C"/>
    <w:rsid w:val="008C6C2F"/>
    <w:rsid w:val="008C72C2"/>
    <w:rsid w:val="008D1262"/>
    <w:rsid w:val="008D14A7"/>
    <w:rsid w:val="008D1BF1"/>
    <w:rsid w:val="008D2CF9"/>
    <w:rsid w:val="008D512C"/>
    <w:rsid w:val="008D5E7C"/>
    <w:rsid w:val="008D682C"/>
    <w:rsid w:val="008D695E"/>
    <w:rsid w:val="008D69B4"/>
    <w:rsid w:val="008D7812"/>
    <w:rsid w:val="008D7B2E"/>
    <w:rsid w:val="008D7EE6"/>
    <w:rsid w:val="008E00E4"/>
    <w:rsid w:val="008E1DBD"/>
    <w:rsid w:val="008E1F63"/>
    <w:rsid w:val="008E33FF"/>
    <w:rsid w:val="008E3E9F"/>
    <w:rsid w:val="008E63C7"/>
    <w:rsid w:val="008F0456"/>
    <w:rsid w:val="008F0457"/>
    <w:rsid w:val="008F0B69"/>
    <w:rsid w:val="008F3AD2"/>
    <w:rsid w:val="008F3FC1"/>
    <w:rsid w:val="008F5FDF"/>
    <w:rsid w:val="008F6052"/>
    <w:rsid w:val="008F636C"/>
    <w:rsid w:val="008F796B"/>
    <w:rsid w:val="0090039C"/>
    <w:rsid w:val="009007DF"/>
    <w:rsid w:val="009019C3"/>
    <w:rsid w:val="0090217A"/>
    <w:rsid w:val="009025E9"/>
    <w:rsid w:val="00902AA9"/>
    <w:rsid w:val="009035A1"/>
    <w:rsid w:val="009100DF"/>
    <w:rsid w:val="00910721"/>
    <w:rsid w:val="009146CB"/>
    <w:rsid w:val="00915683"/>
    <w:rsid w:val="00915C18"/>
    <w:rsid w:val="009161DB"/>
    <w:rsid w:val="0091720D"/>
    <w:rsid w:val="009177F2"/>
    <w:rsid w:val="009208BF"/>
    <w:rsid w:val="00920B5D"/>
    <w:rsid w:val="0092218D"/>
    <w:rsid w:val="00922A1D"/>
    <w:rsid w:val="009234B3"/>
    <w:rsid w:val="009242C8"/>
    <w:rsid w:val="00925BF8"/>
    <w:rsid w:val="009264EB"/>
    <w:rsid w:val="00927353"/>
    <w:rsid w:val="00930293"/>
    <w:rsid w:val="00930E3B"/>
    <w:rsid w:val="0093130C"/>
    <w:rsid w:val="00931EE1"/>
    <w:rsid w:val="009341B8"/>
    <w:rsid w:val="00934CA0"/>
    <w:rsid w:val="00934EBA"/>
    <w:rsid w:val="00936436"/>
    <w:rsid w:val="00937D4A"/>
    <w:rsid w:val="009409CA"/>
    <w:rsid w:val="009411AF"/>
    <w:rsid w:val="009427AF"/>
    <w:rsid w:val="00942CF3"/>
    <w:rsid w:val="0094388C"/>
    <w:rsid w:val="0094458B"/>
    <w:rsid w:val="0094510A"/>
    <w:rsid w:val="00945362"/>
    <w:rsid w:val="0094665A"/>
    <w:rsid w:val="0094685D"/>
    <w:rsid w:val="009502B1"/>
    <w:rsid w:val="00950766"/>
    <w:rsid w:val="00950C73"/>
    <w:rsid w:val="00951389"/>
    <w:rsid w:val="00951812"/>
    <w:rsid w:val="0095186E"/>
    <w:rsid w:val="00952240"/>
    <w:rsid w:val="009526A5"/>
    <w:rsid w:val="00954D58"/>
    <w:rsid w:val="00956186"/>
    <w:rsid w:val="009563C5"/>
    <w:rsid w:val="009572F4"/>
    <w:rsid w:val="00961938"/>
    <w:rsid w:val="00961953"/>
    <w:rsid w:val="00961F8C"/>
    <w:rsid w:val="0096335F"/>
    <w:rsid w:val="0096343B"/>
    <w:rsid w:val="00963755"/>
    <w:rsid w:val="00964A4A"/>
    <w:rsid w:val="009650D6"/>
    <w:rsid w:val="00965F43"/>
    <w:rsid w:val="009721CC"/>
    <w:rsid w:val="0097275C"/>
    <w:rsid w:val="00972D27"/>
    <w:rsid w:val="00973833"/>
    <w:rsid w:val="00973D8E"/>
    <w:rsid w:val="009748D4"/>
    <w:rsid w:val="00974C2A"/>
    <w:rsid w:val="0097554D"/>
    <w:rsid w:val="00975C42"/>
    <w:rsid w:val="0097739D"/>
    <w:rsid w:val="00982318"/>
    <w:rsid w:val="00982D47"/>
    <w:rsid w:val="00983085"/>
    <w:rsid w:val="009841B4"/>
    <w:rsid w:val="00984974"/>
    <w:rsid w:val="00986132"/>
    <w:rsid w:val="009868E0"/>
    <w:rsid w:val="00986A0B"/>
    <w:rsid w:val="00990241"/>
    <w:rsid w:val="009916C3"/>
    <w:rsid w:val="0099317F"/>
    <w:rsid w:val="0099341C"/>
    <w:rsid w:val="009934C4"/>
    <w:rsid w:val="009938DE"/>
    <w:rsid w:val="00996A0A"/>
    <w:rsid w:val="009973D9"/>
    <w:rsid w:val="009979CF"/>
    <w:rsid w:val="009A048F"/>
    <w:rsid w:val="009A1DC0"/>
    <w:rsid w:val="009A388A"/>
    <w:rsid w:val="009A3D3A"/>
    <w:rsid w:val="009A4739"/>
    <w:rsid w:val="009A5482"/>
    <w:rsid w:val="009A5B20"/>
    <w:rsid w:val="009A6DAB"/>
    <w:rsid w:val="009A8320"/>
    <w:rsid w:val="009B0B59"/>
    <w:rsid w:val="009B2849"/>
    <w:rsid w:val="009B2938"/>
    <w:rsid w:val="009B2AE5"/>
    <w:rsid w:val="009B3252"/>
    <w:rsid w:val="009B38E2"/>
    <w:rsid w:val="009B3F69"/>
    <w:rsid w:val="009B61E0"/>
    <w:rsid w:val="009B6EC0"/>
    <w:rsid w:val="009B7873"/>
    <w:rsid w:val="009C12D0"/>
    <w:rsid w:val="009C1522"/>
    <w:rsid w:val="009C1661"/>
    <w:rsid w:val="009C1834"/>
    <w:rsid w:val="009C1852"/>
    <w:rsid w:val="009C2591"/>
    <w:rsid w:val="009C39A1"/>
    <w:rsid w:val="009C4FB4"/>
    <w:rsid w:val="009C68AA"/>
    <w:rsid w:val="009C7C84"/>
    <w:rsid w:val="009D2F3A"/>
    <w:rsid w:val="009D2F5A"/>
    <w:rsid w:val="009D4204"/>
    <w:rsid w:val="009D58A3"/>
    <w:rsid w:val="009D5CD1"/>
    <w:rsid w:val="009D63AB"/>
    <w:rsid w:val="009D6B52"/>
    <w:rsid w:val="009D731C"/>
    <w:rsid w:val="009E1C73"/>
    <w:rsid w:val="009E2350"/>
    <w:rsid w:val="009E272E"/>
    <w:rsid w:val="009E2A68"/>
    <w:rsid w:val="009E3719"/>
    <w:rsid w:val="009E5243"/>
    <w:rsid w:val="009E69D0"/>
    <w:rsid w:val="009F055E"/>
    <w:rsid w:val="009F10A5"/>
    <w:rsid w:val="009F2DB8"/>
    <w:rsid w:val="009F340D"/>
    <w:rsid w:val="009F4B82"/>
    <w:rsid w:val="009F63AB"/>
    <w:rsid w:val="00A0090E"/>
    <w:rsid w:val="00A02234"/>
    <w:rsid w:val="00A0232F"/>
    <w:rsid w:val="00A03DEA"/>
    <w:rsid w:val="00A05A91"/>
    <w:rsid w:val="00A06AF7"/>
    <w:rsid w:val="00A07FB0"/>
    <w:rsid w:val="00A11853"/>
    <w:rsid w:val="00A14778"/>
    <w:rsid w:val="00A1600D"/>
    <w:rsid w:val="00A165C8"/>
    <w:rsid w:val="00A1674A"/>
    <w:rsid w:val="00A16B57"/>
    <w:rsid w:val="00A171AA"/>
    <w:rsid w:val="00A17C6D"/>
    <w:rsid w:val="00A1ED73"/>
    <w:rsid w:val="00A20202"/>
    <w:rsid w:val="00A2155F"/>
    <w:rsid w:val="00A2173B"/>
    <w:rsid w:val="00A22FB6"/>
    <w:rsid w:val="00A258BC"/>
    <w:rsid w:val="00A260F7"/>
    <w:rsid w:val="00A26BA4"/>
    <w:rsid w:val="00A275F8"/>
    <w:rsid w:val="00A27A48"/>
    <w:rsid w:val="00A27BBC"/>
    <w:rsid w:val="00A31281"/>
    <w:rsid w:val="00A32077"/>
    <w:rsid w:val="00A32C64"/>
    <w:rsid w:val="00A33682"/>
    <w:rsid w:val="00A34543"/>
    <w:rsid w:val="00A34E5D"/>
    <w:rsid w:val="00A366C0"/>
    <w:rsid w:val="00A36EC2"/>
    <w:rsid w:val="00A3748E"/>
    <w:rsid w:val="00A374CF"/>
    <w:rsid w:val="00A41629"/>
    <w:rsid w:val="00A422F0"/>
    <w:rsid w:val="00A43592"/>
    <w:rsid w:val="00A447A4"/>
    <w:rsid w:val="00A467BF"/>
    <w:rsid w:val="00A47661"/>
    <w:rsid w:val="00A47924"/>
    <w:rsid w:val="00A47B15"/>
    <w:rsid w:val="00A52CEB"/>
    <w:rsid w:val="00A52E63"/>
    <w:rsid w:val="00A53405"/>
    <w:rsid w:val="00A53A4D"/>
    <w:rsid w:val="00A54425"/>
    <w:rsid w:val="00A55E88"/>
    <w:rsid w:val="00A56A6A"/>
    <w:rsid w:val="00A5747B"/>
    <w:rsid w:val="00A601B3"/>
    <w:rsid w:val="00A61B50"/>
    <w:rsid w:val="00A6272D"/>
    <w:rsid w:val="00A627C4"/>
    <w:rsid w:val="00A62B9B"/>
    <w:rsid w:val="00A64FF8"/>
    <w:rsid w:val="00A65F0B"/>
    <w:rsid w:val="00A6700E"/>
    <w:rsid w:val="00A67B06"/>
    <w:rsid w:val="00A70104"/>
    <w:rsid w:val="00A71D51"/>
    <w:rsid w:val="00A76A51"/>
    <w:rsid w:val="00A7723A"/>
    <w:rsid w:val="00A77D0C"/>
    <w:rsid w:val="00A80FB3"/>
    <w:rsid w:val="00A811F9"/>
    <w:rsid w:val="00A837A4"/>
    <w:rsid w:val="00A841AF"/>
    <w:rsid w:val="00A8570E"/>
    <w:rsid w:val="00A86BBC"/>
    <w:rsid w:val="00A87762"/>
    <w:rsid w:val="00A87D41"/>
    <w:rsid w:val="00A91025"/>
    <w:rsid w:val="00A910D5"/>
    <w:rsid w:val="00A9303F"/>
    <w:rsid w:val="00A946A9"/>
    <w:rsid w:val="00A946B7"/>
    <w:rsid w:val="00A96AC0"/>
    <w:rsid w:val="00A96DD7"/>
    <w:rsid w:val="00A970BC"/>
    <w:rsid w:val="00A9CF30"/>
    <w:rsid w:val="00AA30C8"/>
    <w:rsid w:val="00AA33A6"/>
    <w:rsid w:val="00AA3444"/>
    <w:rsid w:val="00AA5582"/>
    <w:rsid w:val="00AA5C07"/>
    <w:rsid w:val="00AA69F5"/>
    <w:rsid w:val="00AA6B1E"/>
    <w:rsid w:val="00AA75C1"/>
    <w:rsid w:val="00AB0C8F"/>
    <w:rsid w:val="00AB0DAF"/>
    <w:rsid w:val="00AB1784"/>
    <w:rsid w:val="00AB18B4"/>
    <w:rsid w:val="00AB58A7"/>
    <w:rsid w:val="00AB69EB"/>
    <w:rsid w:val="00AC0391"/>
    <w:rsid w:val="00AC09BA"/>
    <w:rsid w:val="00AC09F7"/>
    <w:rsid w:val="00AC234B"/>
    <w:rsid w:val="00AC268B"/>
    <w:rsid w:val="00AC416B"/>
    <w:rsid w:val="00AC5347"/>
    <w:rsid w:val="00AC5BDA"/>
    <w:rsid w:val="00AC6ED2"/>
    <w:rsid w:val="00AC75CF"/>
    <w:rsid w:val="00AD0794"/>
    <w:rsid w:val="00AD0E0B"/>
    <w:rsid w:val="00AD1053"/>
    <w:rsid w:val="00AD158E"/>
    <w:rsid w:val="00AD2097"/>
    <w:rsid w:val="00AD36AC"/>
    <w:rsid w:val="00AD3FE9"/>
    <w:rsid w:val="00AD4823"/>
    <w:rsid w:val="00AD56F2"/>
    <w:rsid w:val="00AD5BA4"/>
    <w:rsid w:val="00AD6932"/>
    <w:rsid w:val="00AD69D7"/>
    <w:rsid w:val="00AD75CE"/>
    <w:rsid w:val="00AE0BC1"/>
    <w:rsid w:val="00AE2A29"/>
    <w:rsid w:val="00AE3D14"/>
    <w:rsid w:val="00AE4C25"/>
    <w:rsid w:val="00AE574D"/>
    <w:rsid w:val="00AE5D88"/>
    <w:rsid w:val="00AE6856"/>
    <w:rsid w:val="00AE6C78"/>
    <w:rsid w:val="00AE6DF1"/>
    <w:rsid w:val="00AE735A"/>
    <w:rsid w:val="00AE774C"/>
    <w:rsid w:val="00AE7AB0"/>
    <w:rsid w:val="00AF039B"/>
    <w:rsid w:val="00AF139B"/>
    <w:rsid w:val="00AF273F"/>
    <w:rsid w:val="00AF3038"/>
    <w:rsid w:val="00AF4A66"/>
    <w:rsid w:val="00AF4D57"/>
    <w:rsid w:val="00AF5495"/>
    <w:rsid w:val="00AF606B"/>
    <w:rsid w:val="00B00284"/>
    <w:rsid w:val="00B0040C"/>
    <w:rsid w:val="00B004C8"/>
    <w:rsid w:val="00B01A4E"/>
    <w:rsid w:val="00B025BF"/>
    <w:rsid w:val="00B04240"/>
    <w:rsid w:val="00B05176"/>
    <w:rsid w:val="00B058F2"/>
    <w:rsid w:val="00B05C68"/>
    <w:rsid w:val="00B06FC2"/>
    <w:rsid w:val="00B0771A"/>
    <w:rsid w:val="00B07F36"/>
    <w:rsid w:val="00B1031D"/>
    <w:rsid w:val="00B10912"/>
    <w:rsid w:val="00B11DF8"/>
    <w:rsid w:val="00B135E4"/>
    <w:rsid w:val="00B13D24"/>
    <w:rsid w:val="00B13DD0"/>
    <w:rsid w:val="00B13E36"/>
    <w:rsid w:val="00B14E75"/>
    <w:rsid w:val="00B15ACF"/>
    <w:rsid w:val="00B15C77"/>
    <w:rsid w:val="00B2053E"/>
    <w:rsid w:val="00B20809"/>
    <w:rsid w:val="00B21BB9"/>
    <w:rsid w:val="00B230A8"/>
    <w:rsid w:val="00B24FDA"/>
    <w:rsid w:val="00B2518D"/>
    <w:rsid w:val="00B25250"/>
    <w:rsid w:val="00B31832"/>
    <w:rsid w:val="00B32563"/>
    <w:rsid w:val="00B327B6"/>
    <w:rsid w:val="00B339A8"/>
    <w:rsid w:val="00B34068"/>
    <w:rsid w:val="00B34277"/>
    <w:rsid w:val="00B3665F"/>
    <w:rsid w:val="00B36E23"/>
    <w:rsid w:val="00B37E8E"/>
    <w:rsid w:val="00B41DB3"/>
    <w:rsid w:val="00B4206E"/>
    <w:rsid w:val="00B42E0A"/>
    <w:rsid w:val="00B42FE5"/>
    <w:rsid w:val="00B4511E"/>
    <w:rsid w:val="00B45622"/>
    <w:rsid w:val="00B47996"/>
    <w:rsid w:val="00B5107E"/>
    <w:rsid w:val="00B51673"/>
    <w:rsid w:val="00B5169E"/>
    <w:rsid w:val="00B51A24"/>
    <w:rsid w:val="00B51F6D"/>
    <w:rsid w:val="00B53299"/>
    <w:rsid w:val="00B53352"/>
    <w:rsid w:val="00B55456"/>
    <w:rsid w:val="00B56B4C"/>
    <w:rsid w:val="00B57677"/>
    <w:rsid w:val="00B5895A"/>
    <w:rsid w:val="00B60916"/>
    <w:rsid w:val="00B609D6"/>
    <w:rsid w:val="00B61BE8"/>
    <w:rsid w:val="00B63017"/>
    <w:rsid w:val="00B6423A"/>
    <w:rsid w:val="00B645EE"/>
    <w:rsid w:val="00B648AB"/>
    <w:rsid w:val="00B65423"/>
    <w:rsid w:val="00B655E3"/>
    <w:rsid w:val="00B672B7"/>
    <w:rsid w:val="00B67A5E"/>
    <w:rsid w:val="00B67DC4"/>
    <w:rsid w:val="00B67F9F"/>
    <w:rsid w:val="00B701FE"/>
    <w:rsid w:val="00B71523"/>
    <w:rsid w:val="00B7255E"/>
    <w:rsid w:val="00B725DC"/>
    <w:rsid w:val="00B740A5"/>
    <w:rsid w:val="00B75BAC"/>
    <w:rsid w:val="00B76ACB"/>
    <w:rsid w:val="00B81514"/>
    <w:rsid w:val="00B83557"/>
    <w:rsid w:val="00B83E49"/>
    <w:rsid w:val="00B84580"/>
    <w:rsid w:val="00B84612"/>
    <w:rsid w:val="00B850F4"/>
    <w:rsid w:val="00B87A95"/>
    <w:rsid w:val="00B87BAF"/>
    <w:rsid w:val="00B901A8"/>
    <w:rsid w:val="00B916D1"/>
    <w:rsid w:val="00B917A0"/>
    <w:rsid w:val="00B92841"/>
    <w:rsid w:val="00B92BA0"/>
    <w:rsid w:val="00B94103"/>
    <w:rsid w:val="00B95BDA"/>
    <w:rsid w:val="00B967A4"/>
    <w:rsid w:val="00BA0DF9"/>
    <w:rsid w:val="00BA3FCD"/>
    <w:rsid w:val="00BA40BB"/>
    <w:rsid w:val="00BA5025"/>
    <w:rsid w:val="00BA515B"/>
    <w:rsid w:val="00BA54DA"/>
    <w:rsid w:val="00BA5870"/>
    <w:rsid w:val="00BA6360"/>
    <w:rsid w:val="00BA6548"/>
    <w:rsid w:val="00BA7E80"/>
    <w:rsid w:val="00BB2F9C"/>
    <w:rsid w:val="00BB31D3"/>
    <w:rsid w:val="00BB3F0F"/>
    <w:rsid w:val="00BB5410"/>
    <w:rsid w:val="00BB740B"/>
    <w:rsid w:val="00BC142A"/>
    <w:rsid w:val="00BC16EA"/>
    <w:rsid w:val="00BC1753"/>
    <w:rsid w:val="00BC22DA"/>
    <w:rsid w:val="00BC261C"/>
    <w:rsid w:val="00BC33FE"/>
    <w:rsid w:val="00BC3BC4"/>
    <w:rsid w:val="00BC48EB"/>
    <w:rsid w:val="00BC4945"/>
    <w:rsid w:val="00BC4B1D"/>
    <w:rsid w:val="00BC52EB"/>
    <w:rsid w:val="00BC68BF"/>
    <w:rsid w:val="00BC7A28"/>
    <w:rsid w:val="00BD0BD6"/>
    <w:rsid w:val="00BD1C92"/>
    <w:rsid w:val="00BD34E2"/>
    <w:rsid w:val="00BD4389"/>
    <w:rsid w:val="00BD6841"/>
    <w:rsid w:val="00BD7635"/>
    <w:rsid w:val="00BD7B8F"/>
    <w:rsid w:val="00BE0089"/>
    <w:rsid w:val="00BE1B6C"/>
    <w:rsid w:val="00BE49DA"/>
    <w:rsid w:val="00BE4FEC"/>
    <w:rsid w:val="00BE53FB"/>
    <w:rsid w:val="00BE5634"/>
    <w:rsid w:val="00BE59E9"/>
    <w:rsid w:val="00BE6020"/>
    <w:rsid w:val="00BE6338"/>
    <w:rsid w:val="00BE6BCC"/>
    <w:rsid w:val="00BE6E6A"/>
    <w:rsid w:val="00BE7E34"/>
    <w:rsid w:val="00BE7F8D"/>
    <w:rsid w:val="00BF05D9"/>
    <w:rsid w:val="00BF2136"/>
    <w:rsid w:val="00BF317F"/>
    <w:rsid w:val="00BF35F2"/>
    <w:rsid w:val="00BF44FD"/>
    <w:rsid w:val="00BF4FA1"/>
    <w:rsid w:val="00BF6EF8"/>
    <w:rsid w:val="00BF7CA8"/>
    <w:rsid w:val="00C01691"/>
    <w:rsid w:val="00C017B2"/>
    <w:rsid w:val="00C01E25"/>
    <w:rsid w:val="00C03F35"/>
    <w:rsid w:val="00C04257"/>
    <w:rsid w:val="00C0578A"/>
    <w:rsid w:val="00C06168"/>
    <w:rsid w:val="00C062B1"/>
    <w:rsid w:val="00C062CA"/>
    <w:rsid w:val="00C0689A"/>
    <w:rsid w:val="00C1052A"/>
    <w:rsid w:val="00C1068A"/>
    <w:rsid w:val="00C11528"/>
    <w:rsid w:val="00C12C38"/>
    <w:rsid w:val="00C13DB8"/>
    <w:rsid w:val="00C141B1"/>
    <w:rsid w:val="00C14E25"/>
    <w:rsid w:val="00C16843"/>
    <w:rsid w:val="00C17575"/>
    <w:rsid w:val="00C2085C"/>
    <w:rsid w:val="00C2397A"/>
    <w:rsid w:val="00C240AC"/>
    <w:rsid w:val="00C24935"/>
    <w:rsid w:val="00C30028"/>
    <w:rsid w:val="00C30D9E"/>
    <w:rsid w:val="00C3185E"/>
    <w:rsid w:val="00C32E90"/>
    <w:rsid w:val="00C33C9A"/>
    <w:rsid w:val="00C34B4A"/>
    <w:rsid w:val="00C35006"/>
    <w:rsid w:val="00C3670D"/>
    <w:rsid w:val="00C37157"/>
    <w:rsid w:val="00C438AE"/>
    <w:rsid w:val="00C454CE"/>
    <w:rsid w:val="00C45D6B"/>
    <w:rsid w:val="00C460EE"/>
    <w:rsid w:val="00C464AE"/>
    <w:rsid w:val="00C47EFC"/>
    <w:rsid w:val="00C501BD"/>
    <w:rsid w:val="00C50FD1"/>
    <w:rsid w:val="00C512E8"/>
    <w:rsid w:val="00C51334"/>
    <w:rsid w:val="00C51E85"/>
    <w:rsid w:val="00C521D8"/>
    <w:rsid w:val="00C52611"/>
    <w:rsid w:val="00C5444D"/>
    <w:rsid w:val="00C56138"/>
    <w:rsid w:val="00C565DC"/>
    <w:rsid w:val="00C57940"/>
    <w:rsid w:val="00C57C32"/>
    <w:rsid w:val="00C57CA0"/>
    <w:rsid w:val="00C57D67"/>
    <w:rsid w:val="00C61014"/>
    <w:rsid w:val="00C63538"/>
    <w:rsid w:val="00C647DC"/>
    <w:rsid w:val="00C64E55"/>
    <w:rsid w:val="00C656FB"/>
    <w:rsid w:val="00C65AF1"/>
    <w:rsid w:val="00C66837"/>
    <w:rsid w:val="00C669AA"/>
    <w:rsid w:val="00C66AC3"/>
    <w:rsid w:val="00C671F2"/>
    <w:rsid w:val="00C67B2F"/>
    <w:rsid w:val="00C71B95"/>
    <w:rsid w:val="00C71E9F"/>
    <w:rsid w:val="00C7359E"/>
    <w:rsid w:val="00C741B7"/>
    <w:rsid w:val="00C75FD1"/>
    <w:rsid w:val="00C7619A"/>
    <w:rsid w:val="00C77009"/>
    <w:rsid w:val="00C77895"/>
    <w:rsid w:val="00C77F8D"/>
    <w:rsid w:val="00C80232"/>
    <w:rsid w:val="00C8077B"/>
    <w:rsid w:val="00C815CC"/>
    <w:rsid w:val="00C8204C"/>
    <w:rsid w:val="00C83286"/>
    <w:rsid w:val="00C85F3B"/>
    <w:rsid w:val="00C85FD2"/>
    <w:rsid w:val="00C87BBA"/>
    <w:rsid w:val="00C9120E"/>
    <w:rsid w:val="00C94440"/>
    <w:rsid w:val="00C94BF6"/>
    <w:rsid w:val="00C95893"/>
    <w:rsid w:val="00C99B32"/>
    <w:rsid w:val="00CA082A"/>
    <w:rsid w:val="00CA1995"/>
    <w:rsid w:val="00CA1D72"/>
    <w:rsid w:val="00CA1EC5"/>
    <w:rsid w:val="00CA2D80"/>
    <w:rsid w:val="00CA3807"/>
    <w:rsid w:val="00CA4478"/>
    <w:rsid w:val="00CA49B4"/>
    <w:rsid w:val="00CA57F1"/>
    <w:rsid w:val="00CA596B"/>
    <w:rsid w:val="00CA65E0"/>
    <w:rsid w:val="00CA7040"/>
    <w:rsid w:val="00CA7160"/>
    <w:rsid w:val="00CA7204"/>
    <w:rsid w:val="00CA7E96"/>
    <w:rsid w:val="00CB0081"/>
    <w:rsid w:val="00CB1B77"/>
    <w:rsid w:val="00CB3A5C"/>
    <w:rsid w:val="00CB3C1F"/>
    <w:rsid w:val="00CB5620"/>
    <w:rsid w:val="00CB6566"/>
    <w:rsid w:val="00CB6CD1"/>
    <w:rsid w:val="00CB7EB1"/>
    <w:rsid w:val="00CC1C00"/>
    <w:rsid w:val="00CC239D"/>
    <w:rsid w:val="00CC348B"/>
    <w:rsid w:val="00CC46E1"/>
    <w:rsid w:val="00CC4AB7"/>
    <w:rsid w:val="00CC682E"/>
    <w:rsid w:val="00CC70D0"/>
    <w:rsid w:val="00CD36F7"/>
    <w:rsid w:val="00CD4393"/>
    <w:rsid w:val="00CD4E83"/>
    <w:rsid w:val="00CD5431"/>
    <w:rsid w:val="00CD58B2"/>
    <w:rsid w:val="00CD6A57"/>
    <w:rsid w:val="00CD6F28"/>
    <w:rsid w:val="00CD759B"/>
    <w:rsid w:val="00CD7A0F"/>
    <w:rsid w:val="00CD7E78"/>
    <w:rsid w:val="00CE01E5"/>
    <w:rsid w:val="00CE0595"/>
    <w:rsid w:val="00CE0ED6"/>
    <w:rsid w:val="00CE3CD4"/>
    <w:rsid w:val="00CE46AC"/>
    <w:rsid w:val="00CE49C8"/>
    <w:rsid w:val="00CE51F2"/>
    <w:rsid w:val="00CE581D"/>
    <w:rsid w:val="00CE628D"/>
    <w:rsid w:val="00CE6439"/>
    <w:rsid w:val="00CE6684"/>
    <w:rsid w:val="00CF174E"/>
    <w:rsid w:val="00CF1BE3"/>
    <w:rsid w:val="00CF2F7E"/>
    <w:rsid w:val="00CF3B9A"/>
    <w:rsid w:val="00CF400B"/>
    <w:rsid w:val="00CF40B6"/>
    <w:rsid w:val="00CF499F"/>
    <w:rsid w:val="00CF64B9"/>
    <w:rsid w:val="00CF66AF"/>
    <w:rsid w:val="00CF7202"/>
    <w:rsid w:val="00D014A1"/>
    <w:rsid w:val="00D02AC7"/>
    <w:rsid w:val="00D02C3A"/>
    <w:rsid w:val="00D03565"/>
    <w:rsid w:val="00D03FF2"/>
    <w:rsid w:val="00D04909"/>
    <w:rsid w:val="00D0582D"/>
    <w:rsid w:val="00D068C5"/>
    <w:rsid w:val="00D11AC8"/>
    <w:rsid w:val="00D12839"/>
    <w:rsid w:val="00D12A7B"/>
    <w:rsid w:val="00D138F3"/>
    <w:rsid w:val="00D13965"/>
    <w:rsid w:val="00D14AC9"/>
    <w:rsid w:val="00D1500E"/>
    <w:rsid w:val="00D165D9"/>
    <w:rsid w:val="00D16C3F"/>
    <w:rsid w:val="00D209B0"/>
    <w:rsid w:val="00D21F3D"/>
    <w:rsid w:val="00D220BE"/>
    <w:rsid w:val="00D23188"/>
    <w:rsid w:val="00D2391B"/>
    <w:rsid w:val="00D2521E"/>
    <w:rsid w:val="00D26899"/>
    <w:rsid w:val="00D27A3E"/>
    <w:rsid w:val="00D337D9"/>
    <w:rsid w:val="00D3382E"/>
    <w:rsid w:val="00D33D69"/>
    <w:rsid w:val="00D3687D"/>
    <w:rsid w:val="00D37B54"/>
    <w:rsid w:val="00D40957"/>
    <w:rsid w:val="00D40F1F"/>
    <w:rsid w:val="00D428DE"/>
    <w:rsid w:val="00D42B28"/>
    <w:rsid w:val="00D42B8D"/>
    <w:rsid w:val="00D42BD7"/>
    <w:rsid w:val="00D43B1E"/>
    <w:rsid w:val="00D43F84"/>
    <w:rsid w:val="00D444D4"/>
    <w:rsid w:val="00D452AC"/>
    <w:rsid w:val="00D460E2"/>
    <w:rsid w:val="00D51D43"/>
    <w:rsid w:val="00D51F9E"/>
    <w:rsid w:val="00D53713"/>
    <w:rsid w:val="00D54A08"/>
    <w:rsid w:val="00D557A8"/>
    <w:rsid w:val="00D56541"/>
    <w:rsid w:val="00D57810"/>
    <w:rsid w:val="00D57F05"/>
    <w:rsid w:val="00D606E5"/>
    <w:rsid w:val="00D61107"/>
    <w:rsid w:val="00D6184F"/>
    <w:rsid w:val="00D61FF6"/>
    <w:rsid w:val="00D62424"/>
    <w:rsid w:val="00D62647"/>
    <w:rsid w:val="00D6736A"/>
    <w:rsid w:val="00D67882"/>
    <w:rsid w:val="00D67AC6"/>
    <w:rsid w:val="00D70F67"/>
    <w:rsid w:val="00D712B1"/>
    <w:rsid w:val="00D712D4"/>
    <w:rsid w:val="00D71C1F"/>
    <w:rsid w:val="00D71F1B"/>
    <w:rsid w:val="00D722E0"/>
    <w:rsid w:val="00D771D8"/>
    <w:rsid w:val="00D77AC2"/>
    <w:rsid w:val="00D80B79"/>
    <w:rsid w:val="00D81384"/>
    <w:rsid w:val="00D815F9"/>
    <w:rsid w:val="00D81C6F"/>
    <w:rsid w:val="00D8361D"/>
    <w:rsid w:val="00D84F82"/>
    <w:rsid w:val="00D85249"/>
    <w:rsid w:val="00D868F8"/>
    <w:rsid w:val="00D8709F"/>
    <w:rsid w:val="00D87832"/>
    <w:rsid w:val="00D91698"/>
    <w:rsid w:val="00D916E8"/>
    <w:rsid w:val="00D91993"/>
    <w:rsid w:val="00D91BA6"/>
    <w:rsid w:val="00D92258"/>
    <w:rsid w:val="00D93BB1"/>
    <w:rsid w:val="00DA0126"/>
    <w:rsid w:val="00DA037F"/>
    <w:rsid w:val="00DA052F"/>
    <w:rsid w:val="00DA31BC"/>
    <w:rsid w:val="00DA35BA"/>
    <w:rsid w:val="00DA5716"/>
    <w:rsid w:val="00DA6DEC"/>
    <w:rsid w:val="00DA6E3A"/>
    <w:rsid w:val="00DA7F55"/>
    <w:rsid w:val="00DA7F6E"/>
    <w:rsid w:val="00DB020E"/>
    <w:rsid w:val="00DB04BA"/>
    <w:rsid w:val="00DB1FAF"/>
    <w:rsid w:val="00DB206E"/>
    <w:rsid w:val="00DB22EE"/>
    <w:rsid w:val="00DB3700"/>
    <w:rsid w:val="00DB3912"/>
    <w:rsid w:val="00DB45DD"/>
    <w:rsid w:val="00DB4E68"/>
    <w:rsid w:val="00DB68F1"/>
    <w:rsid w:val="00DB6E5A"/>
    <w:rsid w:val="00DB7060"/>
    <w:rsid w:val="00DC0207"/>
    <w:rsid w:val="00DC08E5"/>
    <w:rsid w:val="00DC0ED3"/>
    <w:rsid w:val="00DC1A8C"/>
    <w:rsid w:val="00DC3029"/>
    <w:rsid w:val="00DC308F"/>
    <w:rsid w:val="00DC3DBD"/>
    <w:rsid w:val="00DC456B"/>
    <w:rsid w:val="00DC515B"/>
    <w:rsid w:val="00DC525F"/>
    <w:rsid w:val="00DD1025"/>
    <w:rsid w:val="00DD1E2E"/>
    <w:rsid w:val="00DD323A"/>
    <w:rsid w:val="00DD451A"/>
    <w:rsid w:val="00DD5B11"/>
    <w:rsid w:val="00DE1884"/>
    <w:rsid w:val="00DE3648"/>
    <w:rsid w:val="00DE3713"/>
    <w:rsid w:val="00DE67BC"/>
    <w:rsid w:val="00DE7CA2"/>
    <w:rsid w:val="00DF14DC"/>
    <w:rsid w:val="00DF15D0"/>
    <w:rsid w:val="00DF2FDD"/>
    <w:rsid w:val="00DF354B"/>
    <w:rsid w:val="00DF39B7"/>
    <w:rsid w:val="00DF3FAB"/>
    <w:rsid w:val="00DF4313"/>
    <w:rsid w:val="00DF59C5"/>
    <w:rsid w:val="00DF5A6D"/>
    <w:rsid w:val="00DF5B09"/>
    <w:rsid w:val="00DF5BE7"/>
    <w:rsid w:val="00DF5D90"/>
    <w:rsid w:val="00DF762C"/>
    <w:rsid w:val="00E0138D"/>
    <w:rsid w:val="00E023AA"/>
    <w:rsid w:val="00E02907"/>
    <w:rsid w:val="00E03337"/>
    <w:rsid w:val="00E03756"/>
    <w:rsid w:val="00E079B3"/>
    <w:rsid w:val="00E07B00"/>
    <w:rsid w:val="00E10161"/>
    <w:rsid w:val="00E115D4"/>
    <w:rsid w:val="00E123AE"/>
    <w:rsid w:val="00E14496"/>
    <w:rsid w:val="00E15C95"/>
    <w:rsid w:val="00E15E80"/>
    <w:rsid w:val="00E17016"/>
    <w:rsid w:val="00E20562"/>
    <w:rsid w:val="00E21D8B"/>
    <w:rsid w:val="00E2423D"/>
    <w:rsid w:val="00E24C09"/>
    <w:rsid w:val="00E25CD5"/>
    <w:rsid w:val="00E264B0"/>
    <w:rsid w:val="00E36EFC"/>
    <w:rsid w:val="00E40A88"/>
    <w:rsid w:val="00E4662F"/>
    <w:rsid w:val="00E47A88"/>
    <w:rsid w:val="00E50A5D"/>
    <w:rsid w:val="00E50D40"/>
    <w:rsid w:val="00E51274"/>
    <w:rsid w:val="00E51569"/>
    <w:rsid w:val="00E534F4"/>
    <w:rsid w:val="00E536EC"/>
    <w:rsid w:val="00E56020"/>
    <w:rsid w:val="00E5701E"/>
    <w:rsid w:val="00E62693"/>
    <w:rsid w:val="00E634F8"/>
    <w:rsid w:val="00E642E0"/>
    <w:rsid w:val="00E657F3"/>
    <w:rsid w:val="00E66C71"/>
    <w:rsid w:val="00E66D7E"/>
    <w:rsid w:val="00E67237"/>
    <w:rsid w:val="00E7070B"/>
    <w:rsid w:val="00E70955"/>
    <w:rsid w:val="00E7104E"/>
    <w:rsid w:val="00E71581"/>
    <w:rsid w:val="00E810F0"/>
    <w:rsid w:val="00E8133D"/>
    <w:rsid w:val="00E82B06"/>
    <w:rsid w:val="00E830D8"/>
    <w:rsid w:val="00E832F2"/>
    <w:rsid w:val="00E83C5E"/>
    <w:rsid w:val="00E84FDA"/>
    <w:rsid w:val="00E86886"/>
    <w:rsid w:val="00E86AC7"/>
    <w:rsid w:val="00E86FA4"/>
    <w:rsid w:val="00E8706A"/>
    <w:rsid w:val="00E872C3"/>
    <w:rsid w:val="00E908E5"/>
    <w:rsid w:val="00E91223"/>
    <w:rsid w:val="00E912EA"/>
    <w:rsid w:val="00E91D9D"/>
    <w:rsid w:val="00E93244"/>
    <w:rsid w:val="00E93257"/>
    <w:rsid w:val="00E9377A"/>
    <w:rsid w:val="00E947B3"/>
    <w:rsid w:val="00E966BF"/>
    <w:rsid w:val="00EA0170"/>
    <w:rsid w:val="00EA17A8"/>
    <w:rsid w:val="00EA2FDB"/>
    <w:rsid w:val="00EA382C"/>
    <w:rsid w:val="00EA411C"/>
    <w:rsid w:val="00EA6E77"/>
    <w:rsid w:val="00EA70D7"/>
    <w:rsid w:val="00EA70FC"/>
    <w:rsid w:val="00EB1402"/>
    <w:rsid w:val="00EB24AD"/>
    <w:rsid w:val="00EB304B"/>
    <w:rsid w:val="00EB5205"/>
    <w:rsid w:val="00EB7421"/>
    <w:rsid w:val="00EB793E"/>
    <w:rsid w:val="00EB797B"/>
    <w:rsid w:val="00EB7A03"/>
    <w:rsid w:val="00EC054C"/>
    <w:rsid w:val="00EC05F1"/>
    <w:rsid w:val="00EC1430"/>
    <w:rsid w:val="00EC25D5"/>
    <w:rsid w:val="00EC3E02"/>
    <w:rsid w:val="00EC43E6"/>
    <w:rsid w:val="00EC4667"/>
    <w:rsid w:val="00EC52D1"/>
    <w:rsid w:val="00EC5322"/>
    <w:rsid w:val="00EC5505"/>
    <w:rsid w:val="00EC6105"/>
    <w:rsid w:val="00EC6BF0"/>
    <w:rsid w:val="00ED0FDC"/>
    <w:rsid w:val="00ED1A80"/>
    <w:rsid w:val="00ED35D5"/>
    <w:rsid w:val="00ED3E8A"/>
    <w:rsid w:val="00ED4117"/>
    <w:rsid w:val="00ED5DD6"/>
    <w:rsid w:val="00ED73E2"/>
    <w:rsid w:val="00EE2230"/>
    <w:rsid w:val="00EE2B75"/>
    <w:rsid w:val="00EE3056"/>
    <w:rsid w:val="00EE3670"/>
    <w:rsid w:val="00EE501F"/>
    <w:rsid w:val="00EE6368"/>
    <w:rsid w:val="00EE7F69"/>
    <w:rsid w:val="00EEDBA5"/>
    <w:rsid w:val="00EF2A69"/>
    <w:rsid w:val="00EF2FE5"/>
    <w:rsid w:val="00EF3F8E"/>
    <w:rsid w:val="00EF45F8"/>
    <w:rsid w:val="00EF4D3C"/>
    <w:rsid w:val="00EF526F"/>
    <w:rsid w:val="00EF5AD2"/>
    <w:rsid w:val="00EF67A9"/>
    <w:rsid w:val="00EF6A57"/>
    <w:rsid w:val="00EF75CA"/>
    <w:rsid w:val="00F00F44"/>
    <w:rsid w:val="00F012FB"/>
    <w:rsid w:val="00F0202C"/>
    <w:rsid w:val="00F026D5"/>
    <w:rsid w:val="00F02CB5"/>
    <w:rsid w:val="00F04AD7"/>
    <w:rsid w:val="00F04AF2"/>
    <w:rsid w:val="00F053BB"/>
    <w:rsid w:val="00F06740"/>
    <w:rsid w:val="00F06B10"/>
    <w:rsid w:val="00F06F1E"/>
    <w:rsid w:val="00F10972"/>
    <w:rsid w:val="00F11231"/>
    <w:rsid w:val="00F12E42"/>
    <w:rsid w:val="00F13160"/>
    <w:rsid w:val="00F131B2"/>
    <w:rsid w:val="00F13FE0"/>
    <w:rsid w:val="00F16844"/>
    <w:rsid w:val="00F2112A"/>
    <w:rsid w:val="00F22191"/>
    <w:rsid w:val="00F24217"/>
    <w:rsid w:val="00F2440D"/>
    <w:rsid w:val="00F2449C"/>
    <w:rsid w:val="00F2567D"/>
    <w:rsid w:val="00F26B12"/>
    <w:rsid w:val="00F27012"/>
    <w:rsid w:val="00F27F94"/>
    <w:rsid w:val="00F2802E"/>
    <w:rsid w:val="00F301A9"/>
    <w:rsid w:val="00F3393A"/>
    <w:rsid w:val="00F340BC"/>
    <w:rsid w:val="00F352E9"/>
    <w:rsid w:val="00F35F02"/>
    <w:rsid w:val="00F368E2"/>
    <w:rsid w:val="00F370B2"/>
    <w:rsid w:val="00F40507"/>
    <w:rsid w:val="00F429F2"/>
    <w:rsid w:val="00F42B2C"/>
    <w:rsid w:val="00F43E4B"/>
    <w:rsid w:val="00F44611"/>
    <w:rsid w:val="00F44E27"/>
    <w:rsid w:val="00F45E30"/>
    <w:rsid w:val="00F47560"/>
    <w:rsid w:val="00F47CD8"/>
    <w:rsid w:val="00F5032D"/>
    <w:rsid w:val="00F50420"/>
    <w:rsid w:val="00F50A85"/>
    <w:rsid w:val="00F51429"/>
    <w:rsid w:val="00F51B60"/>
    <w:rsid w:val="00F52076"/>
    <w:rsid w:val="00F52625"/>
    <w:rsid w:val="00F5617B"/>
    <w:rsid w:val="00F56A62"/>
    <w:rsid w:val="00F61B5C"/>
    <w:rsid w:val="00F6230D"/>
    <w:rsid w:val="00F63AD3"/>
    <w:rsid w:val="00F68E3A"/>
    <w:rsid w:val="00F711AF"/>
    <w:rsid w:val="00F71C18"/>
    <w:rsid w:val="00F724F4"/>
    <w:rsid w:val="00F731A2"/>
    <w:rsid w:val="00F735EA"/>
    <w:rsid w:val="00F73768"/>
    <w:rsid w:val="00F73C9B"/>
    <w:rsid w:val="00F7512F"/>
    <w:rsid w:val="00F75257"/>
    <w:rsid w:val="00F763B7"/>
    <w:rsid w:val="00F7707D"/>
    <w:rsid w:val="00F7763F"/>
    <w:rsid w:val="00F776FB"/>
    <w:rsid w:val="00F83138"/>
    <w:rsid w:val="00F83637"/>
    <w:rsid w:val="00F87245"/>
    <w:rsid w:val="00F87A26"/>
    <w:rsid w:val="00F90008"/>
    <w:rsid w:val="00F90FB6"/>
    <w:rsid w:val="00F927D6"/>
    <w:rsid w:val="00F92C7B"/>
    <w:rsid w:val="00F92CCF"/>
    <w:rsid w:val="00F92ED0"/>
    <w:rsid w:val="00F9316F"/>
    <w:rsid w:val="00F93931"/>
    <w:rsid w:val="00F94149"/>
    <w:rsid w:val="00F94829"/>
    <w:rsid w:val="00F95078"/>
    <w:rsid w:val="00F96595"/>
    <w:rsid w:val="00F97178"/>
    <w:rsid w:val="00FA0224"/>
    <w:rsid w:val="00FA09EA"/>
    <w:rsid w:val="00FA0E93"/>
    <w:rsid w:val="00FA1F04"/>
    <w:rsid w:val="00FA24AB"/>
    <w:rsid w:val="00FA2D78"/>
    <w:rsid w:val="00FA52EB"/>
    <w:rsid w:val="00FA598C"/>
    <w:rsid w:val="00FA6463"/>
    <w:rsid w:val="00FA69F2"/>
    <w:rsid w:val="00FA7362"/>
    <w:rsid w:val="00FA7427"/>
    <w:rsid w:val="00FA7A2E"/>
    <w:rsid w:val="00FB07EF"/>
    <w:rsid w:val="00FB0EDD"/>
    <w:rsid w:val="00FB13D9"/>
    <w:rsid w:val="00FB1D21"/>
    <w:rsid w:val="00FB2617"/>
    <w:rsid w:val="00FB34D2"/>
    <w:rsid w:val="00FB3782"/>
    <w:rsid w:val="00FB509D"/>
    <w:rsid w:val="00FB5568"/>
    <w:rsid w:val="00FB782C"/>
    <w:rsid w:val="00FC0047"/>
    <w:rsid w:val="00FC1DA4"/>
    <w:rsid w:val="00FC1F82"/>
    <w:rsid w:val="00FC21E4"/>
    <w:rsid w:val="00FC3701"/>
    <w:rsid w:val="00FC538E"/>
    <w:rsid w:val="00FC5808"/>
    <w:rsid w:val="00FC5C7B"/>
    <w:rsid w:val="00FC6698"/>
    <w:rsid w:val="00FC7221"/>
    <w:rsid w:val="00FC7D86"/>
    <w:rsid w:val="00FD1585"/>
    <w:rsid w:val="00FD1818"/>
    <w:rsid w:val="00FD4C0B"/>
    <w:rsid w:val="00FD681C"/>
    <w:rsid w:val="00FD7B31"/>
    <w:rsid w:val="00FE0035"/>
    <w:rsid w:val="00FE0A87"/>
    <w:rsid w:val="00FE129F"/>
    <w:rsid w:val="00FE1A52"/>
    <w:rsid w:val="00FE4C9A"/>
    <w:rsid w:val="00FE63C6"/>
    <w:rsid w:val="00FE7BB6"/>
    <w:rsid w:val="00FF20EE"/>
    <w:rsid w:val="00FF4245"/>
    <w:rsid w:val="00FF53DA"/>
    <w:rsid w:val="00FF618B"/>
    <w:rsid w:val="00FF6AFC"/>
    <w:rsid w:val="010A4D4B"/>
    <w:rsid w:val="011016D7"/>
    <w:rsid w:val="0115394D"/>
    <w:rsid w:val="011E98B8"/>
    <w:rsid w:val="0120C5C9"/>
    <w:rsid w:val="01235DA9"/>
    <w:rsid w:val="012E1024"/>
    <w:rsid w:val="013A3A04"/>
    <w:rsid w:val="013A6D54"/>
    <w:rsid w:val="013B5DDD"/>
    <w:rsid w:val="0144D9B9"/>
    <w:rsid w:val="014BBC6C"/>
    <w:rsid w:val="014E9DE5"/>
    <w:rsid w:val="0150C82F"/>
    <w:rsid w:val="0161B611"/>
    <w:rsid w:val="01625784"/>
    <w:rsid w:val="016E9A10"/>
    <w:rsid w:val="016F80CC"/>
    <w:rsid w:val="0175883F"/>
    <w:rsid w:val="01887ADB"/>
    <w:rsid w:val="018A9FCA"/>
    <w:rsid w:val="01A03992"/>
    <w:rsid w:val="01A4AB60"/>
    <w:rsid w:val="01A70D7F"/>
    <w:rsid w:val="01A95D54"/>
    <w:rsid w:val="01B69740"/>
    <w:rsid w:val="01BC5971"/>
    <w:rsid w:val="01BE1AB4"/>
    <w:rsid w:val="01BF62F8"/>
    <w:rsid w:val="01C5FDBF"/>
    <w:rsid w:val="01CB2B65"/>
    <w:rsid w:val="01D380AA"/>
    <w:rsid w:val="01E06144"/>
    <w:rsid w:val="01E0EB5F"/>
    <w:rsid w:val="01E71FF5"/>
    <w:rsid w:val="01EA5E05"/>
    <w:rsid w:val="01EB3B48"/>
    <w:rsid w:val="01F21323"/>
    <w:rsid w:val="01F46254"/>
    <w:rsid w:val="01F93635"/>
    <w:rsid w:val="01FE24A5"/>
    <w:rsid w:val="02036591"/>
    <w:rsid w:val="0204FD90"/>
    <w:rsid w:val="020CA6EC"/>
    <w:rsid w:val="020DD2BC"/>
    <w:rsid w:val="0213D26E"/>
    <w:rsid w:val="02161486"/>
    <w:rsid w:val="021CD6F8"/>
    <w:rsid w:val="0234B64A"/>
    <w:rsid w:val="023B8758"/>
    <w:rsid w:val="024A2826"/>
    <w:rsid w:val="024D6743"/>
    <w:rsid w:val="02512C26"/>
    <w:rsid w:val="0251526F"/>
    <w:rsid w:val="02517F1C"/>
    <w:rsid w:val="0255EAF1"/>
    <w:rsid w:val="025D03CD"/>
    <w:rsid w:val="025E45DD"/>
    <w:rsid w:val="0265DBD3"/>
    <w:rsid w:val="026615AB"/>
    <w:rsid w:val="02713DCD"/>
    <w:rsid w:val="027347D9"/>
    <w:rsid w:val="02896866"/>
    <w:rsid w:val="028BE03E"/>
    <w:rsid w:val="028F7A1B"/>
    <w:rsid w:val="02957756"/>
    <w:rsid w:val="029E11EB"/>
    <w:rsid w:val="029E66EA"/>
    <w:rsid w:val="02A3D996"/>
    <w:rsid w:val="02A533C3"/>
    <w:rsid w:val="02A5BDF1"/>
    <w:rsid w:val="02A76A62"/>
    <w:rsid w:val="02A80172"/>
    <w:rsid w:val="02BB29D1"/>
    <w:rsid w:val="02BD098B"/>
    <w:rsid w:val="02BEC540"/>
    <w:rsid w:val="02CA2760"/>
    <w:rsid w:val="02CC46B7"/>
    <w:rsid w:val="02D43EE5"/>
    <w:rsid w:val="02D71ABD"/>
    <w:rsid w:val="02D73480"/>
    <w:rsid w:val="02D8B245"/>
    <w:rsid w:val="02E52406"/>
    <w:rsid w:val="02E67A82"/>
    <w:rsid w:val="02E778EF"/>
    <w:rsid w:val="02E9141C"/>
    <w:rsid w:val="02EB44FF"/>
    <w:rsid w:val="02F3AE61"/>
    <w:rsid w:val="02FD910A"/>
    <w:rsid w:val="02FDF0D7"/>
    <w:rsid w:val="03048A0C"/>
    <w:rsid w:val="03069DFB"/>
    <w:rsid w:val="0307E99D"/>
    <w:rsid w:val="030EC149"/>
    <w:rsid w:val="0311FA38"/>
    <w:rsid w:val="031267C2"/>
    <w:rsid w:val="031D0569"/>
    <w:rsid w:val="031D6D85"/>
    <w:rsid w:val="03256252"/>
    <w:rsid w:val="0331B97E"/>
    <w:rsid w:val="03477BFD"/>
    <w:rsid w:val="0349EFB4"/>
    <w:rsid w:val="034AF62D"/>
    <w:rsid w:val="03507167"/>
    <w:rsid w:val="035CC7EA"/>
    <w:rsid w:val="03647926"/>
    <w:rsid w:val="036D586A"/>
    <w:rsid w:val="0370C1FB"/>
    <w:rsid w:val="03876AEC"/>
    <w:rsid w:val="038A7531"/>
    <w:rsid w:val="038B9632"/>
    <w:rsid w:val="038C1EAE"/>
    <w:rsid w:val="038E1738"/>
    <w:rsid w:val="0395A2B4"/>
    <w:rsid w:val="039FE8AD"/>
    <w:rsid w:val="03A0A218"/>
    <w:rsid w:val="03B1A4D6"/>
    <w:rsid w:val="03B4B895"/>
    <w:rsid w:val="03B4DF44"/>
    <w:rsid w:val="03C58470"/>
    <w:rsid w:val="03DDEA18"/>
    <w:rsid w:val="03DEACCD"/>
    <w:rsid w:val="03E8199E"/>
    <w:rsid w:val="03ECBA6C"/>
    <w:rsid w:val="03F1733F"/>
    <w:rsid w:val="03F8F675"/>
    <w:rsid w:val="03FE690D"/>
    <w:rsid w:val="04052DA3"/>
    <w:rsid w:val="040D6906"/>
    <w:rsid w:val="0419081E"/>
    <w:rsid w:val="041F4199"/>
    <w:rsid w:val="04271A8B"/>
    <w:rsid w:val="0437607C"/>
    <w:rsid w:val="04527878"/>
    <w:rsid w:val="0456F4BF"/>
    <w:rsid w:val="045CB39F"/>
    <w:rsid w:val="045D09FA"/>
    <w:rsid w:val="04645AB6"/>
    <w:rsid w:val="046B308E"/>
    <w:rsid w:val="046E6865"/>
    <w:rsid w:val="047418A9"/>
    <w:rsid w:val="04757B47"/>
    <w:rsid w:val="0476772B"/>
    <w:rsid w:val="04772086"/>
    <w:rsid w:val="04799D13"/>
    <w:rsid w:val="047A56DC"/>
    <w:rsid w:val="047A6AB4"/>
    <w:rsid w:val="047B4939"/>
    <w:rsid w:val="04861805"/>
    <w:rsid w:val="049A74E6"/>
    <w:rsid w:val="049B9A0B"/>
    <w:rsid w:val="049CA439"/>
    <w:rsid w:val="049CBF94"/>
    <w:rsid w:val="04A6A7B2"/>
    <w:rsid w:val="04A8A659"/>
    <w:rsid w:val="04B7BAD1"/>
    <w:rsid w:val="04B93CB4"/>
    <w:rsid w:val="04C00458"/>
    <w:rsid w:val="04E0AA44"/>
    <w:rsid w:val="04EBB22B"/>
    <w:rsid w:val="04F6456F"/>
    <w:rsid w:val="04FB1190"/>
    <w:rsid w:val="04FD4AC9"/>
    <w:rsid w:val="04FEEB8C"/>
    <w:rsid w:val="05054867"/>
    <w:rsid w:val="0505C6E8"/>
    <w:rsid w:val="050990EC"/>
    <w:rsid w:val="050BC9C0"/>
    <w:rsid w:val="050EC100"/>
    <w:rsid w:val="05134065"/>
    <w:rsid w:val="051FD285"/>
    <w:rsid w:val="052084FE"/>
    <w:rsid w:val="05234250"/>
    <w:rsid w:val="052D2D76"/>
    <w:rsid w:val="053190AB"/>
    <w:rsid w:val="05499357"/>
    <w:rsid w:val="055944FD"/>
    <w:rsid w:val="055F27C0"/>
    <w:rsid w:val="057F0921"/>
    <w:rsid w:val="05885754"/>
    <w:rsid w:val="05A32BF2"/>
    <w:rsid w:val="05A4E0C0"/>
    <w:rsid w:val="05A5764D"/>
    <w:rsid w:val="05A8AAFA"/>
    <w:rsid w:val="05A9F4A2"/>
    <w:rsid w:val="05AB14ED"/>
    <w:rsid w:val="05B1C484"/>
    <w:rsid w:val="05B2760A"/>
    <w:rsid w:val="05CB0774"/>
    <w:rsid w:val="05D2FD82"/>
    <w:rsid w:val="05D66229"/>
    <w:rsid w:val="05D76A30"/>
    <w:rsid w:val="05D8E17E"/>
    <w:rsid w:val="05EB858D"/>
    <w:rsid w:val="05ECB911"/>
    <w:rsid w:val="05F2970A"/>
    <w:rsid w:val="05F562DF"/>
    <w:rsid w:val="060232B3"/>
    <w:rsid w:val="0629E651"/>
    <w:rsid w:val="063D08B2"/>
    <w:rsid w:val="063E3E53"/>
    <w:rsid w:val="063E5D6D"/>
    <w:rsid w:val="0640786D"/>
    <w:rsid w:val="064222E0"/>
    <w:rsid w:val="064DBF8A"/>
    <w:rsid w:val="0654D7B5"/>
    <w:rsid w:val="065B6CC7"/>
    <w:rsid w:val="066188DA"/>
    <w:rsid w:val="06670715"/>
    <w:rsid w:val="066C7F05"/>
    <w:rsid w:val="067551E2"/>
    <w:rsid w:val="067778B4"/>
    <w:rsid w:val="067B972F"/>
    <w:rsid w:val="067C8A02"/>
    <w:rsid w:val="067E7190"/>
    <w:rsid w:val="06946065"/>
    <w:rsid w:val="06952E50"/>
    <w:rsid w:val="06971D8B"/>
    <w:rsid w:val="069FA8F1"/>
    <w:rsid w:val="069FCC58"/>
    <w:rsid w:val="06A8CF19"/>
    <w:rsid w:val="06B9E651"/>
    <w:rsid w:val="06C019C7"/>
    <w:rsid w:val="06C32FC0"/>
    <w:rsid w:val="06D97B72"/>
    <w:rsid w:val="06E2BBF9"/>
    <w:rsid w:val="06E3D2C3"/>
    <w:rsid w:val="06E9A4CD"/>
    <w:rsid w:val="06EE2AC7"/>
    <w:rsid w:val="06EF81CB"/>
    <w:rsid w:val="06F6AB76"/>
    <w:rsid w:val="06FDD74E"/>
    <w:rsid w:val="07016CDF"/>
    <w:rsid w:val="0703CC72"/>
    <w:rsid w:val="070B0503"/>
    <w:rsid w:val="0711FF09"/>
    <w:rsid w:val="07196986"/>
    <w:rsid w:val="07244ADF"/>
    <w:rsid w:val="07254C6C"/>
    <w:rsid w:val="0738BF7F"/>
    <w:rsid w:val="0745513D"/>
    <w:rsid w:val="0749CC78"/>
    <w:rsid w:val="07520DD2"/>
    <w:rsid w:val="07536B1E"/>
    <w:rsid w:val="075A9695"/>
    <w:rsid w:val="0763543E"/>
    <w:rsid w:val="07656C4E"/>
    <w:rsid w:val="07738185"/>
    <w:rsid w:val="0777D0CB"/>
    <w:rsid w:val="0782244F"/>
    <w:rsid w:val="07826BC5"/>
    <w:rsid w:val="078B18D3"/>
    <w:rsid w:val="0792D191"/>
    <w:rsid w:val="079301E4"/>
    <w:rsid w:val="07A2F1A4"/>
    <w:rsid w:val="07ABB96B"/>
    <w:rsid w:val="07AC7BF6"/>
    <w:rsid w:val="07B019DF"/>
    <w:rsid w:val="07B9428A"/>
    <w:rsid w:val="07BC44CE"/>
    <w:rsid w:val="07BCFA9F"/>
    <w:rsid w:val="07C52192"/>
    <w:rsid w:val="07CB7FD7"/>
    <w:rsid w:val="07D5A8CA"/>
    <w:rsid w:val="07D600EB"/>
    <w:rsid w:val="07E08742"/>
    <w:rsid w:val="07E23B0E"/>
    <w:rsid w:val="07E5B0E1"/>
    <w:rsid w:val="07ED3D78"/>
    <w:rsid w:val="07F1427D"/>
    <w:rsid w:val="07F2AF42"/>
    <w:rsid w:val="07F2FDD4"/>
    <w:rsid w:val="080269A5"/>
    <w:rsid w:val="080837D3"/>
    <w:rsid w:val="08113059"/>
    <w:rsid w:val="08174A1D"/>
    <w:rsid w:val="081985C0"/>
    <w:rsid w:val="0832D948"/>
    <w:rsid w:val="083A8AD5"/>
    <w:rsid w:val="0840AFFA"/>
    <w:rsid w:val="08467304"/>
    <w:rsid w:val="084C4FC8"/>
    <w:rsid w:val="085141BB"/>
    <w:rsid w:val="085349A9"/>
    <w:rsid w:val="0855BA74"/>
    <w:rsid w:val="085BEA28"/>
    <w:rsid w:val="0863243B"/>
    <w:rsid w:val="0865DD9D"/>
    <w:rsid w:val="087113AF"/>
    <w:rsid w:val="087206B5"/>
    <w:rsid w:val="087BFFDB"/>
    <w:rsid w:val="087EAD45"/>
    <w:rsid w:val="08807C39"/>
    <w:rsid w:val="08855BB5"/>
    <w:rsid w:val="088AFE7B"/>
    <w:rsid w:val="088C4E2B"/>
    <w:rsid w:val="0890B9D9"/>
    <w:rsid w:val="0891BC87"/>
    <w:rsid w:val="0894ECA4"/>
    <w:rsid w:val="08A090BB"/>
    <w:rsid w:val="08A560A8"/>
    <w:rsid w:val="08ABC2AF"/>
    <w:rsid w:val="08B4D5D9"/>
    <w:rsid w:val="08BED47F"/>
    <w:rsid w:val="08C5DBA2"/>
    <w:rsid w:val="08CEE752"/>
    <w:rsid w:val="08D6801C"/>
    <w:rsid w:val="08D6F7F9"/>
    <w:rsid w:val="08D9E408"/>
    <w:rsid w:val="08DABD0A"/>
    <w:rsid w:val="08DBD935"/>
    <w:rsid w:val="08DCA9EC"/>
    <w:rsid w:val="08EBED7F"/>
    <w:rsid w:val="08EC001F"/>
    <w:rsid w:val="08ECD07A"/>
    <w:rsid w:val="08F94457"/>
    <w:rsid w:val="090279A6"/>
    <w:rsid w:val="091C413A"/>
    <w:rsid w:val="09240786"/>
    <w:rsid w:val="0925B742"/>
    <w:rsid w:val="09283BB2"/>
    <w:rsid w:val="092C0C35"/>
    <w:rsid w:val="092D443F"/>
    <w:rsid w:val="092E73EF"/>
    <w:rsid w:val="09303CB1"/>
    <w:rsid w:val="09385FF9"/>
    <w:rsid w:val="093E6806"/>
    <w:rsid w:val="093F8A5F"/>
    <w:rsid w:val="09445129"/>
    <w:rsid w:val="095EF0C0"/>
    <w:rsid w:val="0968FB6C"/>
    <w:rsid w:val="096C16D8"/>
    <w:rsid w:val="096FEE85"/>
    <w:rsid w:val="097033AC"/>
    <w:rsid w:val="0971EFF1"/>
    <w:rsid w:val="09741DAD"/>
    <w:rsid w:val="097C60AD"/>
    <w:rsid w:val="098CA2B7"/>
    <w:rsid w:val="0995FC75"/>
    <w:rsid w:val="0998926A"/>
    <w:rsid w:val="099E93E4"/>
    <w:rsid w:val="09A282C7"/>
    <w:rsid w:val="09A69079"/>
    <w:rsid w:val="09C04FAC"/>
    <w:rsid w:val="09CEE18B"/>
    <w:rsid w:val="09D50127"/>
    <w:rsid w:val="09D82905"/>
    <w:rsid w:val="09D8848B"/>
    <w:rsid w:val="09DAE2D4"/>
    <w:rsid w:val="09DDA1CC"/>
    <w:rsid w:val="09E6B43D"/>
    <w:rsid w:val="09EF71B2"/>
    <w:rsid w:val="09FBCEF7"/>
    <w:rsid w:val="0A09F7E3"/>
    <w:rsid w:val="0A10AE8B"/>
    <w:rsid w:val="0A196292"/>
    <w:rsid w:val="0A1BC0D9"/>
    <w:rsid w:val="0A1F4812"/>
    <w:rsid w:val="0A23411C"/>
    <w:rsid w:val="0A2D052A"/>
    <w:rsid w:val="0A2F0F9A"/>
    <w:rsid w:val="0A2F76D1"/>
    <w:rsid w:val="0A37E3DF"/>
    <w:rsid w:val="0A39C978"/>
    <w:rsid w:val="0A3C65B4"/>
    <w:rsid w:val="0A3DAFE6"/>
    <w:rsid w:val="0A3F00CB"/>
    <w:rsid w:val="0A4113C2"/>
    <w:rsid w:val="0A45E6DF"/>
    <w:rsid w:val="0A49C41A"/>
    <w:rsid w:val="0A4D9136"/>
    <w:rsid w:val="0A500BD0"/>
    <w:rsid w:val="0A52E3B1"/>
    <w:rsid w:val="0A5A9C8B"/>
    <w:rsid w:val="0A656E77"/>
    <w:rsid w:val="0A6F9606"/>
    <w:rsid w:val="0A76CFC7"/>
    <w:rsid w:val="0A780086"/>
    <w:rsid w:val="0A7D988B"/>
    <w:rsid w:val="0A855232"/>
    <w:rsid w:val="0A8D48E5"/>
    <w:rsid w:val="0A9CF319"/>
    <w:rsid w:val="0AA3BF6B"/>
    <w:rsid w:val="0AAADEAD"/>
    <w:rsid w:val="0AAF1606"/>
    <w:rsid w:val="0AB29234"/>
    <w:rsid w:val="0ABBD738"/>
    <w:rsid w:val="0ABE151A"/>
    <w:rsid w:val="0AD6C780"/>
    <w:rsid w:val="0AEF71F4"/>
    <w:rsid w:val="0AF9E62D"/>
    <w:rsid w:val="0AFE761A"/>
    <w:rsid w:val="0AFF4DA8"/>
    <w:rsid w:val="0B09583D"/>
    <w:rsid w:val="0B106BBE"/>
    <w:rsid w:val="0B1AC000"/>
    <w:rsid w:val="0B214FDB"/>
    <w:rsid w:val="0B31ED28"/>
    <w:rsid w:val="0B381324"/>
    <w:rsid w:val="0B4111C3"/>
    <w:rsid w:val="0B559711"/>
    <w:rsid w:val="0B5C9284"/>
    <w:rsid w:val="0B786675"/>
    <w:rsid w:val="0B89286E"/>
    <w:rsid w:val="0B9D9DD2"/>
    <w:rsid w:val="0BA758F0"/>
    <w:rsid w:val="0BA7C6E4"/>
    <w:rsid w:val="0BA7CE4E"/>
    <w:rsid w:val="0BB0B404"/>
    <w:rsid w:val="0BB117B0"/>
    <w:rsid w:val="0BB68F42"/>
    <w:rsid w:val="0BB699ED"/>
    <w:rsid w:val="0BB71AA6"/>
    <w:rsid w:val="0BC89303"/>
    <w:rsid w:val="0BCB390A"/>
    <w:rsid w:val="0BDF2757"/>
    <w:rsid w:val="0BED1435"/>
    <w:rsid w:val="0BEDCD6D"/>
    <w:rsid w:val="0BF08151"/>
    <w:rsid w:val="0C00408F"/>
    <w:rsid w:val="0C0F9BE9"/>
    <w:rsid w:val="0C1274B3"/>
    <w:rsid w:val="0C18DAC9"/>
    <w:rsid w:val="0C2D9B76"/>
    <w:rsid w:val="0C30F041"/>
    <w:rsid w:val="0C381315"/>
    <w:rsid w:val="0C3E44B4"/>
    <w:rsid w:val="0C4B1385"/>
    <w:rsid w:val="0C4E92EA"/>
    <w:rsid w:val="0C62BC1C"/>
    <w:rsid w:val="0C7103BB"/>
    <w:rsid w:val="0C732405"/>
    <w:rsid w:val="0C75EF1F"/>
    <w:rsid w:val="0C76CF0D"/>
    <w:rsid w:val="0C81A68C"/>
    <w:rsid w:val="0C822BAF"/>
    <w:rsid w:val="0C8719D3"/>
    <w:rsid w:val="0C8DB373"/>
    <w:rsid w:val="0C8E037E"/>
    <w:rsid w:val="0C98A45F"/>
    <w:rsid w:val="0C9A9157"/>
    <w:rsid w:val="0CA8EAAF"/>
    <w:rsid w:val="0CB428BE"/>
    <w:rsid w:val="0CBB73AA"/>
    <w:rsid w:val="0CC6AC63"/>
    <w:rsid w:val="0CCB6AD8"/>
    <w:rsid w:val="0CD521F2"/>
    <w:rsid w:val="0CD64899"/>
    <w:rsid w:val="0CD9A70D"/>
    <w:rsid w:val="0CDADC52"/>
    <w:rsid w:val="0CDBE0F4"/>
    <w:rsid w:val="0D02DAED"/>
    <w:rsid w:val="0D068A59"/>
    <w:rsid w:val="0D0D5F51"/>
    <w:rsid w:val="0D1632EE"/>
    <w:rsid w:val="0D186C99"/>
    <w:rsid w:val="0D198AD2"/>
    <w:rsid w:val="0D1BD1AB"/>
    <w:rsid w:val="0D23D0AC"/>
    <w:rsid w:val="0D2CFA0C"/>
    <w:rsid w:val="0D3B9EFE"/>
    <w:rsid w:val="0D3DADCA"/>
    <w:rsid w:val="0D3EB33E"/>
    <w:rsid w:val="0D3F7ADF"/>
    <w:rsid w:val="0D41FF48"/>
    <w:rsid w:val="0D49FF76"/>
    <w:rsid w:val="0D4B9C79"/>
    <w:rsid w:val="0D4E2AF3"/>
    <w:rsid w:val="0D57396F"/>
    <w:rsid w:val="0D5CD095"/>
    <w:rsid w:val="0D6661B4"/>
    <w:rsid w:val="0D678633"/>
    <w:rsid w:val="0D79B7EB"/>
    <w:rsid w:val="0D944D62"/>
    <w:rsid w:val="0DA2392A"/>
    <w:rsid w:val="0DB34453"/>
    <w:rsid w:val="0DC9E47F"/>
    <w:rsid w:val="0DD5BA47"/>
    <w:rsid w:val="0DE079DE"/>
    <w:rsid w:val="0DEEDBAF"/>
    <w:rsid w:val="0DF0DB02"/>
    <w:rsid w:val="0E002505"/>
    <w:rsid w:val="0E07D698"/>
    <w:rsid w:val="0E0D16A8"/>
    <w:rsid w:val="0E1BA3C7"/>
    <w:rsid w:val="0E212372"/>
    <w:rsid w:val="0E3718F1"/>
    <w:rsid w:val="0E4A0C93"/>
    <w:rsid w:val="0E59DA56"/>
    <w:rsid w:val="0E689ADD"/>
    <w:rsid w:val="0E82330F"/>
    <w:rsid w:val="0E88A6EB"/>
    <w:rsid w:val="0E8BDC04"/>
    <w:rsid w:val="0E91F5A3"/>
    <w:rsid w:val="0E93885A"/>
    <w:rsid w:val="0E9685AD"/>
    <w:rsid w:val="0E9B8B25"/>
    <w:rsid w:val="0E9F5570"/>
    <w:rsid w:val="0EAA4621"/>
    <w:rsid w:val="0EB9052D"/>
    <w:rsid w:val="0EC4086F"/>
    <w:rsid w:val="0ECA2E97"/>
    <w:rsid w:val="0ED19E2A"/>
    <w:rsid w:val="0EDA4CF1"/>
    <w:rsid w:val="0EE584D8"/>
    <w:rsid w:val="0EF66350"/>
    <w:rsid w:val="0EF6916C"/>
    <w:rsid w:val="0EF6B26B"/>
    <w:rsid w:val="0F03CA59"/>
    <w:rsid w:val="0F08EB91"/>
    <w:rsid w:val="0F0CCBCC"/>
    <w:rsid w:val="0F176090"/>
    <w:rsid w:val="0F1A2624"/>
    <w:rsid w:val="0F1BC531"/>
    <w:rsid w:val="0F33CC05"/>
    <w:rsid w:val="0F35037B"/>
    <w:rsid w:val="0F36B2E5"/>
    <w:rsid w:val="0F3AAE70"/>
    <w:rsid w:val="0F4CD22E"/>
    <w:rsid w:val="0F57D09B"/>
    <w:rsid w:val="0F582787"/>
    <w:rsid w:val="0F59B62E"/>
    <w:rsid w:val="0F603F97"/>
    <w:rsid w:val="0F6226DC"/>
    <w:rsid w:val="0F6374DB"/>
    <w:rsid w:val="0F6F7A18"/>
    <w:rsid w:val="0F719831"/>
    <w:rsid w:val="0F729151"/>
    <w:rsid w:val="0F7B549C"/>
    <w:rsid w:val="0F7D3AF4"/>
    <w:rsid w:val="0F816BC7"/>
    <w:rsid w:val="0F8481E5"/>
    <w:rsid w:val="0F874792"/>
    <w:rsid w:val="0F8A597D"/>
    <w:rsid w:val="0F8B98AD"/>
    <w:rsid w:val="0F8F2E91"/>
    <w:rsid w:val="0F8FA472"/>
    <w:rsid w:val="0F95F3C9"/>
    <w:rsid w:val="0FA3D512"/>
    <w:rsid w:val="0FB0A7BC"/>
    <w:rsid w:val="0FB38636"/>
    <w:rsid w:val="0FBBFACD"/>
    <w:rsid w:val="0FBC5812"/>
    <w:rsid w:val="0FCC3B19"/>
    <w:rsid w:val="0FCD1CB9"/>
    <w:rsid w:val="0FCEC942"/>
    <w:rsid w:val="0FD053A4"/>
    <w:rsid w:val="0FD58B6E"/>
    <w:rsid w:val="0FD81F7D"/>
    <w:rsid w:val="0FE181FA"/>
    <w:rsid w:val="0FE7AC60"/>
    <w:rsid w:val="0FF421C3"/>
    <w:rsid w:val="0FFB806D"/>
    <w:rsid w:val="0FFC028A"/>
    <w:rsid w:val="1001D638"/>
    <w:rsid w:val="1003DBFD"/>
    <w:rsid w:val="100D861C"/>
    <w:rsid w:val="1017E3F3"/>
    <w:rsid w:val="102117D7"/>
    <w:rsid w:val="10221A4E"/>
    <w:rsid w:val="103545FC"/>
    <w:rsid w:val="103BF836"/>
    <w:rsid w:val="103D7BB5"/>
    <w:rsid w:val="103E8241"/>
    <w:rsid w:val="1049A578"/>
    <w:rsid w:val="104EDFE2"/>
    <w:rsid w:val="104F1B7A"/>
    <w:rsid w:val="105433BC"/>
    <w:rsid w:val="105476CC"/>
    <w:rsid w:val="10558A87"/>
    <w:rsid w:val="105C31E5"/>
    <w:rsid w:val="105F829C"/>
    <w:rsid w:val="10662A86"/>
    <w:rsid w:val="106ABE19"/>
    <w:rsid w:val="1074DD51"/>
    <w:rsid w:val="1085FEB8"/>
    <w:rsid w:val="10904039"/>
    <w:rsid w:val="10978A20"/>
    <w:rsid w:val="1098C88B"/>
    <w:rsid w:val="109E8E1C"/>
    <w:rsid w:val="10A8D7C8"/>
    <w:rsid w:val="10AA3141"/>
    <w:rsid w:val="10B2E96D"/>
    <w:rsid w:val="10B32C3C"/>
    <w:rsid w:val="10C27AC7"/>
    <w:rsid w:val="10D3B1B2"/>
    <w:rsid w:val="10D51011"/>
    <w:rsid w:val="10D701F4"/>
    <w:rsid w:val="10D7AA90"/>
    <w:rsid w:val="10D8E081"/>
    <w:rsid w:val="10E16672"/>
    <w:rsid w:val="10E1E999"/>
    <w:rsid w:val="10E686F6"/>
    <w:rsid w:val="10E69E85"/>
    <w:rsid w:val="10E754BC"/>
    <w:rsid w:val="10E94D89"/>
    <w:rsid w:val="10ED9B3B"/>
    <w:rsid w:val="10F90251"/>
    <w:rsid w:val="10FD33AD"/>
    <w:rsid w:val="1100C320"/>
    <w:rsid w:val="11168605"/>
    <w:rsid w:val="111E6FB0"/>
    <w:rsid w:val="111F7455"/>
    <w:rsid w:val="1123A5BE"/>
    <w:rsid w:val="113001BD"/>
    <w:rsid w:val="1135898A"/>
    <w:rsid w:val="1137E71D"/>
    <w:rsid w:val="113A1B7F"/>
    <w:rsid w:val="113B881F"/>
    <w:rsid w:val="1144ECE1"/>
    <w:rsid w:val="11469249"/>
    <w:rsid w:val="114B3CFE"/>
    <w:rsid w:val="1152C49D"/>
    <w:rsid w:val="1153607F"/>
    <w:rsid w:val="11559DB2"/>
    <w:rsid w:val="115A1866"/>
    <w:rsid w:val="115D4513"/>
    <w:rsid w:val="1166767A"/>
    <w:rsid w:val="11699520"/>
    <w:rsid w:val="11766785"/>
    <w:rsid w:val="11779545"/>
    <w:rsid w:val="11794AD7"/>
    <w:rsid w:val="118AED48"/>
    <w:rsid w:val="118FD06E"/>
    <w:rsid w:val="1198BCC6"/>
    <w:rsid w:val="11A38E68"/>
    <w:rsid w:val="11A54317"/>
    <w:rsid w:val="11ACB1C5"/>
    <w:rsid w:val="11B190C3"/>
    <w:rsid w:val="11BC8153"/>
    <w:rsid w:val="11C485B1"/>
    <w:rsid w:val="11D4393A"/>
    <w:rsid w:val="11D4AB7E"/>
    <w:rsid w:val="11E053AA"/>
    <w:rsid w:val="11F0CE97"/>
    <w:rsid w:val="11F2110A"/>
    <w:rsid w:val="11F74064"/>
    <w:rsid w:val="11F97D88"/>
    <w:rsid w:val="11FDAF26"/>
    <w:rsid w:val="12197C26"/>
    <w:rsid w:val="121D0497"/>
    <w:rsid w:val="123E4D78"/>
    <w:rsid w:val="123F2C48"/>
    <w:rsid w:val="124217EA"/>
    <w:rsid w:val="124623FF"/>
    <w:rsid w:val="12537E37"/>
    <w:rsid w:val="1261B33C"/>
    <w:rsid w:val="12685B07"/>
    <w:rsid w:val="1268A0F4"/>
    <w:rsid w:val="126E88CC"/>
    <w:rsid w:val="126F8800"/>
    <w:rsid w:val="1279E923"/>
    <w:rsid w:val="12811AFC"/>
    <w:rsid w:val="128313F3"/>
    <w:rsid w:val="128F7E36"/>
    <w:rsid w:val="1290AF4A"/>
    <w:rsid w:val="12926B92"/>
    <w:rsid w:val="12968544"/>
    <w:rsid w:val="1297728D"/>
    <w:rsid w:val="129CF29B"/>
    <w:rsid w:val="129D92DC"/>
    <w:rsid w:val="129EECDA"/>
    <w:rsid w:val="129FE42C"/>
    <w:rsid w:val="12A29AC8"/>
    <w:rsid w:val="12A6AD72"/>
    <w:rsid w:val="12AAB29E"/>
    <w:rsid w:val="12B927D0"/>
    <w:rsid w:val="12C045C7"/>
    <w:rsid w:val="12C882EE"/>
    <w:rsid w:val="12C90687"/>
    <w:rsid w:val="12CA872E"/>
    <w:rsid w:val="12CE3C93"/>
    <w:rsid w:val="12CFF936"/>
    <w:rsid w:val="12D06530"/>
    <w:rsid w:val="12D24D47"/>
    <w:rsid w:val="12E977EC"/>
    <w:rsid w:val="12EB1CAC"/>
    <w:rsid w:val="12FF2488"/>
    <w:rsid w:val="130857CB"/>
    <w:rsid w:val="133A9ED5"/>
    <w:rsid w:val="13410301"/>
    <w:rsid w:val="13419D42"/>
    <w:rsid w:val="1356F41E"/>
    <w:rsid w:val="135BD49C"/>
    <w:rsid w:val="135F4150"/>
    <w:rsid w:val="1363E493"/>
    <w:rsid w:val="1370FE83"/>
    <w:rsid w:val="137AFAD6"/>
    <w:rsid w:val="1382E71A"/>
    <w:rsid w:val="13831D6E"/>
    <w:rsid w:val="13A21F6F"/>
    <w:rsid w:val="13A6122D"/>
    <w:rsid w:val="13A98F70"/>
    <w:rsid w:val="13ACEEE9"/>
    <w:rsid w:val="13AD4AF5"/>
    <w:rsid w:val="13B57F8D"/>
    <w:rsid w:val="13B6AB6C"/>
    <w:rsid w:val="13C9A65B"/>
    <w:rsid w:val="13E1CBA0"/>
    <w:rsid w:val="13E24F52"/>
    <w:rsid w:val="13E4BFFE"/>
    <w:rsid w:val="13EFEDCD"/>
    <w:rsid w:val="13F675C2"/>
    <w:rsid w:val="140C3E0C"/>
    <w:rsid w:val="14148722"/>
    <w:rsid w:val="14192513"/>
    <w:rsid w:val="1422818D"/>
    <w:rsid w:val="14240880"/>
    <w:rsid w:val="14260363"/>
    <w:rsid w:val="14311283"/>
    <w:rsid w:val="1435D81D"/>
    <w:rsid w:val="14394448"/>
    <w:rsid w:val="143B6FB8"/>
    <w:rsid w:val="143FF265"/>
    <w:rsid w:val="1440113F"/>
    <w:rsid w:val="1442AC2F"/>
    <w:rsid w:val="1443A2B6"/>
    <w:rsid w:val="1444647E"/>
    <w:rsid w:val="144E9230"/>
    <w:rsid w:val="14586951"/>
    <w:rsid w:val="145FBD96"/>
    <w:rsid w:val="1472A33A"/>
    <w:rsid w:val="14768A1B"/>
    <w:rsid w:val="1477AABE"/>
    <w:rsid w:val="1480C495"/>
    <w:rsid w:val="149A8B85"/>
    <w:rsid w:val="14A52167"/>
    <w:rsid w:val="14AE5EDB"/>
    <w:rsid w:val="14B19539"/>
    <w:rsid w:val="14B3B87C"/>
    <w:rsid w:val="14B9EB42"/>
    <w:rsid w:val="14D9C9E2"/>
    <w:rsid w:val="14E2DC6A"/>
    <w:rsid w:val="14E70FF3"/>
    <w:rsid w:val="14E9A18B"/>
    <w:rsid w:val="14EBDB0E"/>
    <w:rsid w:val="14EDBE4B"/>
    <w:rsid w:val="14F7F9C1"/>
    <w:rsid w:val="14FAF5F5"/>
    <w:rsid w:val="14FB6002"/>
    <w:rsid w:val="150A915D"/>
    <w:rsid w:val="150C359A"/>
    <w:rsid w:val="1510E366"/>
    <w:rsid w:val="1521DC18"/>
    <w:rsid w:val="15233318"/>
    <w:rsid w:val="152FC699"/>
    <w:rsid w:val="15520B93"/>
    <w:rsid w:val="1556FE7D"/>
    <w:rsid w:val="1559938A"/>
    <w:rsid w:val="156365ED"/>
    <w:rsid w:val="15791321"/>
    <w:rsid w:val="157F9BFA"/>
    <w:rsid w:val="15A9ACAF"/>
    <w:rsid w:val="15B13866"/>
    <w:rsid w:val="15C3EA93"/>
    <w:rsid w:val="15D4A66E"/>
    <w:rsid w:val="15D99915"/>
    <w:rsid w:val="15E28248"/>
    <w:rsid w:val="15E375D4"/>
    <w:rsid w:val="15E603BF"/>
    <w:rsid w:val="15E6978C"/>
    <w:rsid w:val="15ED8A79"/>
    <w:rsid w:val="15F23416"/>
    <w:rsid w:val="15F243C4"/>
    <w:rsid w:val="15FA4E30"/>
    <w:rsid w:val="1604F962"/>
    <w:rsid w:val="16191C32"/>
    <w:rsid w:val="162EB160"/>
    <w:rsid w:val="1633D382"/>
    <w:rsid w:val="1639F881"/>
    <w:rsid w:val="163BAFB8"/>
    <w:rsid w:val="165074A5"/>
    <w:rsid w:val="165BFC3C"/>
    <w:rsid w:val="1665F421"/>
    <w:rsid w:val="1668125E"/>
    <w:rsid w:val="166C6045"/>
    <w:rsid w:val="1670C717"/>
    <w:rsid w:val="16729A6F"/>
    <w:rsid w:val="16830467"/>
    <w:rsid w:val="1687EC8F"/>
    <w:rsid w:val="16886890"/>
    <w:rsid w:val="168C4E0F"/>
    <w:rsid w:val="16A0C5A2"/>
    <w:rsid w:val="16A3FB4E"/>
    <w:rsid w:val="16BAE80A"/>
    <w:rsid w:val="16BCAF1C"/>
    <w:rsid w:val="16C4D5C5"/>
    <w:rsid w:val="16D58DA3"/>
    <w:rsid w:val="16D775A9"/>
    <w:rsid w:val="16DB1B0A"/>
    <w:rsid w:val="16E6DD7E"/>
    <w:rsid w:val="16EC61DD"/>
    <w:rsid w:val="16F5E1C5"/>
    <w:rsid w:val="16FA3C8C"/>
    <w:rsid w:val="16FE5697"/>
    <w:rsid w:val="170C4B42"/>
    <w:rsid w:val="17139C96"/>
    <w:rsid w:val="17149C06"/>
    <w:rsid w:val="171B7588"/>
    <w:rsid w:val="171BDB8C"/>
    <w:rsid w:val="171F2E32"/>
    <w:rsid w:val="172CE4CD"/>
    <w:rsid w:val="172FB6D4"/>
    <w:rsid w:val="172FC3FA"/>
    <w:rsid w:val="1737E14C"/>
    <w:rsid w:val="1748BC8F"/>
    <w:rsid w:val="174EE89B"/>
    <w:rsid w:val="17557961"/>
    <w:rsid w:val="175CB836"/>
    <w:rsid w:val="176DF68B"/>
    <w:rsid w:val="178985F3"/>
    <w:rsid w:val="178BB4C7"/>
    <w:rsid w:val="1790AD1E"/>
    <w:rsid w:val="17A2B229"/>
    <w:rsid w:val="17A78F1A"/>
    <w:rsid w:val="17AC8753"/>
    <w:rsid w:val="17ACD0D5"/>
    <w:rsid w:val="17B5D060"/>
    <w:rsid w:val="17B66A2B"/>
    <w:rsid w:val="17C34058"/>
    <w:rsid w:val="17C40579"/>
    <w:rsid w:val="17CB3FFD"/>
    <w:rsid w:val="17CF2968"/>
    <w:rsid w:val="17DAA0CA"/>
    <w:rsid w:val="17DDE041"/>
    <w:rsid w:val="17DEBEA8"/>
    <w:rsid w:val="17E621BC"/>
    <w:rsid w:val="17E6326E"/>
    <w:rsid w:val="17ECBA9B"/>
    <w:rsid w:val="17EEEC48"/>
    <w:rsid w:val="17F0D4F3"/>
    <w:rsid w:val="17FCB24F"/>
    <w:rsid w:val="18169A85"/>
    <w:rsid w:val="182E111A"/>
    <w:rsid w:val="184ED4A0"/>
    <w:rsid w:val="18597F14"/>
    <w:rsid w:val="18612CD5"/>
    <w:rsid w:val="1865AB76"/>
    <w:rsid w:val="186E134E"/>
    <w:rsid w:val="186E6AC1"/>
    <w:rsid w:val="1877A075"/>
    <w:rsid w:val="187DF88E"/>
    <w:rsid w:val="187E128F"/>
    <w:rsid w:val="1886C55E"/>
    <w:rsid w:val="188A7122"/>
    <w:rsid w:val="189DE7B9"/>
    <w:rsid w:val="189ED338"/>
    <w:rsid w:val="18A06C4B"/>
    <w:rsid w:val="18A1E4EB"/>
    <w:rsid w:val="18B0391B"/>
    <w:rsid w:val="18B444A5"/>
    <w:rsid w:val="18B5FCF0"/>
    <w:rsid w:val="18BAE8D4"/>
    <w:rsid w:val="18BEFE3F"/>
    <w:rsid w:val="18C211E7"/>
    <w:rsid w:val="18D79F28"/>
    <w:rsid w:val="18E1AE00"/>
    <w:rsid w:val="18ED2508"/>
    <w:rsid w:val="18EDBC14"/>
    <w:rsid w:val="18EFDFC1"/>
    <w:rsid w:val="18F069BA"/>
    <w:rsid w:val="18FC1C2B"/>
    <w:rsid w:val="1900A771"/>
    <w:rsid w:val="1906183C"/>
    <w:rsid w:val="190853D3"/>
    <w:rsid w:val="1912770E"/>
    <w:rsid w:val="191DFD91"/>
    <w:rsid w:val="1923EEBF"/>
    <w:rsid w:val="192B39FB"/>
    <w:rsid w:val="1934A173"/>
    <w:rsid w:val="19486E5D"/>
    <w:rsid w:val="1949CF60"/>
    <w:rsid w:val="194BAC69"/>
    <w:rsid w:val="195F3952"/>
    <w:rsid w:val="196238B8"/>
    <w:rsid w:val="197905FC"/>
    <w:rsid w:val="1983E019"/>
    <w:rsid w:val="198739AF"/>
    <w:rsid w:val="1988D47B"/>
    <w:rsid w:val="19894443"/>
    <w:rsid w:val="19A0AF3F"/>
    <w:rsid w:val="19A7D934"/>
    <w:rsid w:val="19B1A6A9"/>
    <w:rsid w:val="19B60090"/>
    <w:rsid w:val="19BF5A59"/>
    <w:rsid w:val="19D1D0EB"/>
    <w:rsid w:val="19D55D98"/>
    <w:rsid w:val="19E6815E"/>
    <w:rsid w:val="19EA6932"/>
    <w:rsid w:val="19FFF295"/>
    <w:rsid w:val="1A065ACB"/>
    <w:rsid w:val="1A0B789C"/>
    <w:rsid w:val="1A0F4E6A"/>
    <w:rsid w:val="1A17B330"/>
    <w:rsid w:val="1A1D92F4"/>
    <w:rsid w:val="1A20A1CF"/>
    <w:rsid w:val="1A20ECBD"/>
    <w:rsid w:val="1A2BEA16"/>
    <w:rsid w:val="1A31CAF2"/>
    <w:rsid w:val="1A3E6C66"/>
    <w:rsid w:val="1A45F219"/>
    <w:rsid w:val="1A4B28A7"/>
    <w:rsid w:val="1A4BEF31"/>
    <w:rsid w:val="1A4FF3BA"/>
    <w:rsid w:val="1A54AD00"/>
    <w:rsid w:val="1A570AA7"/>
    <w:rsid w:val="1A5ECFD4"/>
    <w:rsid w:val="1A7D6117"/>
    <w:rsid w:val="1A7FD831"/>
    <w:rsid w:val="1A8449CC"/>
    <w:rsid w:val="1A8B778F"/>
    <w:rsid w:val="1A8C793A"/>
    <w:rsid w:val="1AA4FD08"/>
    <w:rsid w:val="1AB29DBD"/>
    <w:rsid w:val="1ABEFF21"/>
    <w:rsid w:val="1ACA1A30"/>
    <w:rsid w:val="1ACDBF53"/>
    <w:rsid w:val="1ACF4786"/>
    <w:rsid w:val="1AD577AA"/>
    <w:rsid w:val="1AD5BACC"/>
    <w:rsid w:val="1AD84E99"/>
    <w:rsid w:val="1ADC5B7C"/>
    <w:rsid w:val="1AE153EF"/>
    <w:rsid w:val="1AF492D8"/>
    <w:rsid w:val="1AF9A1AD"/>
    <w:rsid w:val="1B035FE0"/>
    <w:rsid w:val="1B15A29E"/>
    <w:rsid w:val="1B16CE9B"/>
    <w:rsid w:val="1B19F10C"/>
    <w:rsid w:val="1B2EDDB4"/>
    <w:rsid w:val="1B30B326"/>
    <w:rsid w:val="1B336425"/>
    <w:rsid w:val="1B3773A5"/>
    <w:rsid w:val="1B397731"/>
    <w:rsid w:val="1B399EB4"/>
    <w:rsid w:val="1B3B32D5"/>
    <w:rsid w:val="1B3BA89F"/>
    <w:rsid w:val="1B43DDB1"/>
    <w:rsid w:val="1B473BCE"/>
    <w:rsid w:val="1B4A3CC4"/>
    <w:rsid w:val="1B5053E1"/>
    <w:rsid w:val="1B50F90E"/>
    <w:rsid w:val="1B59CA03"/>
    <w:rsid w:val="1B5A969A"/>
    <w:rsid w:val="1B698976"/>
    <w:rsid w:val="1B6A5905"/>
    <w:rsid w:val="1B6FB32C"/>
    <w:rsid w:val="1B716422"/>
    <w:rsid w:val="1B745DAA"/>
    <w:rsid w:val="1B7518D4"/>
    <w:rsid w:val="1B771AAF"/>
    <w:rsid w:val="1B795D26"/>
    <w:rsid w:val="1B7988D9"/>
    <w:rsid w:val="1B877A39"/>
    <w:rsid w:val="1B8866FB"/>
    <w:rsid w:val="1B891435"/>
    <w:rsid w:val="1B92538D"/>
    <w:rsid w:val="1B9F9FF5"/>
    <w:rsid w:val="1BA0EF35"/>
    <w:rsid w:val="1BA64074"/>
    <w:rsid w:val="1BABDF9A"/>
    <w:rsid w:val="1BB559E5"/>
    <w:rsid w:val="1BBD18F6"/>
    <w:rsid w:val="1BC2BA9E"/>
    <w:rsid w:val="1BD60C28"/>
    <w:rsid w:val="1BD78C46"/>
    <w:rsid w:val="1BE3D0C4"/>
    <w:rsid w:val="1BE465F3"/>
    <w:rsid w:val="1BF01267"/>
    <w:rsid w:val="1BF4973D"/>
    <w:rsid w:val="1BF9B947"/>
    <w:rsid w:val="1BFDA09E"/>
    <w:rsid w:val="1BFF0DEC"/>
    <w:rsid w:val="1C003F65"/>
    <w:rsid w:val="1C034BCF"/>
    <w:rsid w:val="1C0405BE"/>
    <w:rsid w:val="1C0A7B70"/>
    <w:rsid w:val="1C14DE4E"/>
    <w:rsid w:val="1C17DBE9"/>
    <w:rsid w:val="1C1A1818"/>
    <w:rsid w:val="1C1E6A8B"/>
    <w:rsid w:val="1C239B54"/>
    <w:rsid w:val="1C2916C0"/>
    <w:rsid w:val="1C292BDA"/>
    <w:rsid w:val="1C2AE798"/>
    <w:rsid w:val="1C2EDC3C"/>
    <w:rsid w:val="1C2FE617"/>
    <w:rsid w:val="1C386F89"/>
    <w:rsid w:val="1C3C2BEE"/>
    <w:rsid w:val="1C3CE8E7"/>
    <w:rsid w:val="1C3DA9C0"/>
    <w:rsid w:val="1C412034"/>
    <w:rsid w:val="1C42C933"/>
    <w:rsid w:val="1C507C30"/>
    <w:rsid w:val="1C5AD33E"/>
    <w:rsid w:val="1C6118E8"/>
    <w:rsid w:val="1C68C9FF"/>
    <w:rsid w:val="1C6B503A"/>
    <w:rsid w:val="1C743C68"/>
    <w:rsid w:val="1C809EC2"/>
    <w:rsid w:val="1C872A93"/>
    <w:rsid w:val="1C9B7C3E"/>
    <w:rsid w:val="1CA0C41F"/>
    <w:rsid w:val="1CA33EC3"/>
    <w:rsid w:val="1CA35F92"/>
    <w:rsid w:val="1CB0A6BE"/>
    <w:rsid w:val="1CBD2F66"/>
    <w:rsid w:val="1CD1AAA4"/>
    <w:rsid w:val="1CD75D04"/>
    <w:rsid w:val="1CDC2F15"/>
    <w:rsid w:val="1CFEE8B2"/>
    <w:rsid w:val="1D0C05BE"/>
    <w:rsid w:val="1D133BA4"/>
    <w:rsid w:val="1D2C52DE"/>
    <w:rsid w:val="1D3265C1"/>
    <w:rsid w:val="1D5B8774"/>
    <w:rsid w:val="1D5B9D82"/>
    <w:rsid w:val="1D5CF731"/>
    <w:rsid w:val="1D62E37C"/>
    <w:rsid w:val="1D6B8880"/>
    <w:rsid w:val="1D6E1F1F"/>
    <w:rsid w:val="1D7EB2E7"/>
    <w:rsid w:val="1D80ED0E"/>
    <w:rsid w:val="1D828A80"/>
    <w:rsid w:val="1D841C74"/>
    <w:rsid w:val="1D8C28C0"/>
    <w:rsid w:val="1D8E804D"/>
    <w:rsid w:val="1D9B469B"/>
    <w:rsid w:val="1D9EBF7D"/>
    <w:rsid w:val="1DA2EC99"/>
    <w:rsid w:val="1DA7028E"/>
    <w:rsid w:val="1DB9B84B"/>
    <w:rsid w:val="1DC44804"/>
    <w:rsid w:val="1DC511AD"/>
    <w:rsid w:val="1DC69CB6"/>
    <w:rsid w:val="1DC9BD3A"/>
    <w:rsid w:val="1DCD750B"/>
    <w:rsid w:val="1DDE4844"/>
    <w:rsid w:val="1DEF1222"/>
    <w:rsid w:val="1DF49569"/>
    <w:rsid w:val="1E01B5B7"/>
    <w:rsid w:val="1E08AF20"/>
    <w:rsid w:val="1E0C1C4D"/>
    <w:rsid w:val="1E0DC977"/>
    <w:rsid w:val="1E16C5A4"/>
    <w:rsid w:val="1E2019AB"/>
    <w:rsid w:val="1E38AE8E"/>
    <w:rsid w:val="1E3BF9E3"/>
    <w:rsid w:val="1E44A0F4"/>
    <w:rsid w:val="1E48463D"/>
    <w:rsid w:val="1E48F0FF"/>
    <w:rsid w:val="1E55C839"/>
    <w:rsid w:val="1E635D1F"/>
    <w:rsid w:val="1E7771CF"/>
    <w:rsid w:val="1E7875F2"/>
    <w:rsid w:val="1E7FCCC7"/>
    <w:rsid w:val="1E8DE8B5"/>
    <w:rsid w:val="1E9366C4"/>
    <w:rsid w:val="1E9F1E46"/>
    <w:rsid w:val="1EA95212"/>
    <w:rsid w:val="1EAD1ECB"/>
    <w:rsid w:val="1EAD8C87"/>
    <w:rsid w:val="1EB120B8"/>
    <w:rsid w:val="1EB4D63F"/>
    <w:rsid w:val="1EC9EBED"/>
    <w:rsid w:val="1ECA6037"/>
    <w:rsid w:val="1ED1F687"/>
    <w:rsid w:val="1ED87D02"/>
    <w:rsid w:val="1ED994E7"/>
    <w:rsid w:val="1EE349B6"/>
    <w:rsid w:val="1EE87C7E"/>
    <w:rsid w:val="1EEF4666"/>
    <w:rsid w:val="1EF0208B"/>
    <w:rsid w:val="1EF1DF47"/>
    <w:rsid w:val="1EF58ABB"/>
    <w:rsid w:val="1EF5D8E6"/>
    <w:rsid w:val="1EF7BB23"/>
    <w:rsid w:val="1EF858BF"/>
    <w:rsid w:val="1EFB2EDD"/>
    <w:rsid w:val="1F02F04E"/>
    <w:rsid w:val="1F0C2F09"/>
    <w:rsid w:val="1F1029CF"/>
    <w:rsid w:val="1F1070AF"/>
    <w:rsid w:val="1F135FFC"/>
    <w:rsid w:val="1F198712"/>
    <w:rsid w:val="1F20C588"/>
    <w:rsid w:val="1F2638DF"/>
    <w:rsid w:val="1F319A81"/>
    <w:rsid w:val="1F32D65E"/>
    <w:rsid w:val="1F36240E"/>
    <w:rsid w:val="1F3A11AC"/>
    <w:rsid w:val="1F3D1C0E"/>
    <w:rsid w:val="1F3F1369"/>
    <w:rsid w:val="1F4484E4"/>
    <w:rsid w:val="1F54E216"/>
    <w:rsid w:val="1F638112"/>
    <w:rsid w:val="1F678F65"/>
    <w:rsid w:val="1F6B93DC"/>
    <w:rsid w:val="1F7002B1"/>
    <w:rsid w:val="1F723ADB"/>
    <w:rsid w:val="1F74ED0F"/>
    <w:rsid w:val="1F7AC870"/>
    <w:rsid w:val="1F7E13F3"/>
    <w:rsid w:val="1F910BC5"/>
    <w:rsid w:val="1F91D8C4"/>
    <w:rsid w:val="1F97D525"/>
    <w:rsid w:val="1F9992FB"/>
    <w:rsid w:val="1F9CB737"/>
    <w:rsid w:val="1F9E35B6"/>
    <w:rsid w:val="1FA3C1AF"/>
    <w:rsid w:val="1FC96DCE"/>
    <w:rsid w:val="1FD52E14"/>
    <w:rsid w:val="1FD59DDD"/>
    <w:rsid w:val="1FDE146B"/>
    <w:rsid w:val="1FE41129"/>
    <w:rsid w:val="1FFF9D30"/>
    <w:rsid w:val="20011E64"/>
    <w:rsid w:val="200B8B57"/>
    <w:rsid w:val="200C6FDF"/>
    <w:rsid w:val="201B21D5"/>
    <w:rsid w:val="202958AE"/>
    <w:rsid w:val="2034626C"/>
    <w:rsid w:val="20390861"/>
    <w:rsid w:val="20421260"/>
    <w:rsid w:val="2046B162"/>
    <w:rsid w:val="20500755"/>
    <w:rsid w:val="2050E08A"/>
    <w:rsid w:val="20597A54"/>
    <w:rsid w:val="2059AAF4"/>
    <w:rsid w:val="205C98BD"/>
    <w:rsid w:val="205E5C92"/>
    <w:rsid w:val="206D26C3"/>
    <w:rsid w:val="206F187F"/>
    <w:rsid w:val="207331AB"/>
    <w:rsid w:val="207870A5"/>
    <w:rsid w:val="207A9013"/>
    <w:rsid w:val="207E7594"/>
    <w:rsid w:val="2080D2EA"/>
    <w:rsid w:val="2086DEBB"/>
    <w:rsid w:val="20911AA9"/>
    <w:rsid w:val="2097BECA"/>
    <w:rsid w:val="209FE2E9"/>
    <w:rsid w:val="20AA9C38"/>
    <w:rsid w:val="20B195EC"/>
    <w:rsid w:val="20B69B50"/>
    <w:rsid w:val="20BEB198"/>
    <w:rsid w:val="20C5CB64"/>
    <w:rsid w:val="20C81C5F"/>
    <w:rsid w:val="20D2F9BF"/>
    <w:rsid w:val="20E78966"/>
    <w:rsid w:val="20E9810B"/>
    <w:rsid w:val="20F21FE0"/>
    <w:rsid w:val="20F40027"/>
    <w:rsid w:val="20FA70AF"/>
    <w:rsid w:val="20FBC27C"/>
    <w:rsid w:val="20FDF2B6"/>
    <w:rsid w:val="21009CE9"/>
    <w:rsid w:val="210823CD"/>
    <w:rsid w:val="210A7630"/>
    <w:rsid w:val="211453DC"/>
    <w:rsid w:val="21174C53"/>
    <w:rsid w:val="211A26AC"/>
    <w:rsid w:val="212DAFD2"/>
    <w:rsid w:val="213B3796"/>
    <w:rsid w:val="2151EA94"/>
    <w:rsid w:val="2154A78A"/>
    <w:rsid w:val="2156A19B"/>
    <w:rsid w:val="215BC8F8"/>
    <w:rsid w:val="215EE5E7"/>
    <w:rsid w:val="217CC981"/>
    <w:rsid w:val="21845126"/>
    <w:rsid w:val="2185124D"/>
    <w:rsid w:val="2188956D"/>
    <w:rsid w:val="2195AA7C"/>
    <w:rsid w:val="219B89AE"/>
    <w:rsid w:val="219F73A3"/>
    <w:rsid w:val="219FC3E8"/>
    <w:rsid w:val="21A21CC3"/>
    <w:rsid w:val="21A66802"/>
    <w:rsid w:val="21ACABDB"/>
    <w:rsid w:val="21C0D7E0"/>
    <w:rsid w:val="21C1D710"/>
    <w:rsid w:val="21CFFDBC"/>
    <w:rsid w:val="21D12906"/>
    <w:rsid w:val="21DF5169"/>
    <w:rsid w:val="21EF6957"/>
    <w:rsid w:val="21F16C24"/>
    <w:rsid w:val="21F6A9FD"/>
    <w:rsid w:val="21F7B1B7"/>
    <w:rsid w:val="21FC73D0"/>
    <w:rsid w:val="2207F82B"/>
    <w:rsid w:val="22086FB7"/>
    <w:rsid w:val="220978B3"/>
    <w:rsid w:val="2217863D"/>
    <w:rsid w:val="2218316F"/>
    <w:rsid w:val="2227DB7C"/>
    <w:rsid w:val="22381C2E"/>
    <w:rsid w:val="22409B7D"/>
    <w:rsid w:val="2247BF02"/>
    <w:rsid w:val="2253E1FB"/>
    <w:rsid w:val="22570C27"/>
    <w:rsid w:val="22690D44"/>
    <w:rsid w:val="2271D5A6"/>
    <w:rsid w:val="2281319D"/>
    <w:rsid w:val="2283491C"/>
    <w:rsid w:val="228E80DA"/>
    <w:rsid w:val="2293D981"/>
    <w:rsid w:val="229942C3"/>
    <w:rsid w:val="22A70FB2"/>
    <w:rsid w:val="22A9D6BC"/>
    <w:rsid w:val="22C6E0C5"/>
    <w:rsid w:val="22C8604E"/>
    <w:rsid w:val="22CD2095"/>
    <w:rsid w:val="22D3D945"/>
    <w:rsid w:val="22DBC9A5"/>
    <w:rsid w:val="22DD373F"/>
    <w:rsid w:val="22E892D1"/>
    <w:rsid w:val="22F2DC06"/>
    <w:rsid w:val="22F2E5A0"/>
    <w:rsid w:val="22F935ED"/>
    <w:rsid w:val="22FB49C0"/>
    <w:rsid w:val="230FCDE9"/>
    <w:rsid w:val="23178557"/>
    <w:rsid w:val="2323F942"/>
    <w:rsid w:val="2324C1C8"/>
    <w:rsid w:val="23407488"/>
    <w:rsid w:val="235BD29E"/>
    <w:rsid w:val="23604073"/>
    <w:rsid w:val="2360D425"/>
    <w:rsid w:val="2370B1B6"/>
    <w:rsid w:val="2371D37D"/>
    <w:rsid w:val="237FEB15"/>
    <w:rsid w:val="23868D53"/>
    <w:rsid w:val="238B7F20"/>
    <w:rsid w:val="238F257D"/>
    <w:rsid w:val="23986017"/>
    <w:rsid w:val="23A35881"/>
    <w:rsid w:val="23A3650C"/>
    <w:rsid w:val="23A3D541"/>
    <w:rsid w:val="23A44FF7"/>
    <w:rsid w:val="23AAD080"/>
    <w:rsid w:val="23B5F98A"/>
    <w:rsid w:val="23C65CDC"/>
    <w:rsid w:val="23EBE675"/>
    <w:rsid w:val="23F2E467"/>
    <w:rsid w:val="23F40BAE"/>
    <w:rsid w:val="23F8B929"/>
    <w:rsid w:val="2408F2FD"/>
    <w:rsid w:val="240E1219"/>
    <w:rsid w:val="24109735"/>
    <w:rsid w:val="2411B2FA"/>
    <w:rsid w:val="241983F7"/>
    <w:rsid w:val="24229EF8"/>
    <w:rsid w:val="242BBE7E"/>
    <w:rsid w:val="242C27EC"/>
    <w:rsid w:val="243221BB"/>
    <w:rsid w:val="243DC114"/>
    <w:rsid w:val="24402847"/>
    <w:rsid w:val="2443930B"/>
    <w:rsid w:val="244D1E96"/>
    <w:rsid w:val="2463BC23"/>
    <w:rsid w:val="246588DE"/>
    <w:rsid w:val="24790295"/>
    <w:rsid w:val="247AACD5"/>
    <w:rsid w:val="248AA3D3"/>
    <w:rsid w:val="249EDE14"/>
    <w:rsid w:val="24A14543"/>
    <w:rsid w:val="24A31258"/>
    <w:rsid w:val="24AAB8B5"/>
    <w:rsid w:val="24AB7A47"/>
    <w:rsid w:val="24B02690"/>
    <w:rsid w:val="24C3280F"/>
    <w:rsid w:val="24C4EE89"/>
    <w:rsid w:val="24C69B30"/>
    <w:rsid w:val="24C6B554"/>
    <w:rsid w:val="24D3C4F2"/>
    <w:rsid w:val="24D661B2"/>
    <w:rsid w:val="24E9C8EB"/>
    <w:rsid w:val="24EC5020"/>
    <w:rsid w:val="24ED8F7A"/>
    <w:rsid w:val="24EE7A84"/>
    <w:rsid w:val="24F4D25A"/>
    <w:rsid w:val="24F57708"/>
    <w:rsid w:val="24F78753"/>
    <w:rsid w:val="25034404"/>
    <w:rsid w:val="2504E664"/>
    <w:rsid w:val="25113C59"/>
    <w:rsid w:val="251316CA"/>
    <w:rsid w:val="2515A1C8"/>
    <w:rsid w:val="25189EC3"/>
    <w:rsid w:val="252A8396"/>
    <w:rsid w:val="252B7A8B"/>
    <w:rsid w:val="253CCFFF"/>
    <w:rsid w:val="25404349"/>
    <w:rsid w:val="2540474F"/>
    <w:rsid w:val="2544B637"/>
    <w:rsid w:val="254AF447"/>
    <w:rsid w:val="2552A434"/>
    <w:rsid w:val="255F5A3F"/>
    <w:rsid w:val="25701CE3"/>
    <w:rsid w:val="2579D719"/>
    <w:rsid w:val="2579D996"/>
    <w:rsid w:val="257B1F22"/>
    <w:rsid w:val="2581E3B3"/>
    <w:rsid w:val="258A6C5F"/>
    <w:rsid w:val="2599DDDE"/>
    <w:rsid w:val="259AA814"/>
    <w:rsid w:val="25A1325B"/>
    <w:rsid w:val="25A675A8"/>
    <w:rsid w:val="25AAE6BF"/>
    <w:rsid w:val="25BC2699"/>
    <w:rsid w:val="25C17C81"/>
    <w:rsid w:val="25C300F4"/>
    <w:rsid w:val="25D9D181"/>
    <w:rsid w:val="25DB3A1C"/>
    <w:rsid w:val="25E2F2D5"/>
    <w:rsid w:val="25E4FD77"/>
    <w:rsid w:val="25EAEE37"/>
    <w:rsid w:val="25EB734C"/>
    <w:rsid w:val="25F3C6A5"/>
    <w:rsid w:val="25F710E4"/>
    <w:rsid w:val="25FCF05D"/>
    <w:rsid w:val="25FF94DB"/>
    <w:rsid w:val="260597C5"/>
    <w:rsid w:val="2609ED8A"/>
    <w:rsid w:val="260B98E8"/>
    <w:rsid w:val="2618E007"/>
    <w:rsid w:val="2618FAC8"/>
    <w:rsid w:val="26200011"/>
    <w:rsid w:val="26496489"/>
    <w:rsid w:val="264CAA80"/>
    <w:rsid w:val="26569F46"/>
    <w:rsid w:val="2662D259"/>
    <w:rsid w:val="2666061C"/>
    <w:rsid w:val="2669FEBE"/>
    <w:rsid w:val="266F735B"/>
    <w:rsid w:val="2675EB0E"/>
    <w:rsid w:val="2678D153"/>
    <w:rsid w:val="26790413"/>
    <w:rsid w:val="267C6826"/>
    <w:rsid w:val="2683A43E"/>
    <w:rsid w:val="268B6D72"/>
    <w:rsid w:val="2690BD65"/>
    <w:rsid w:val="269E3231"/>
    <w:rsid w:val="26A2940F"/>
    <w:rsid w:val="26A849E5"/>
    <w:rsid w:val="26AE7F47"/>
    <w:rsid w:val="26B127D1"/>
    <w:rsid w:val="26BA5636"/>
    <w:rsid w:val="26BE21A2"/>
    <w:rsid w:val="26D2F3C1"/>
    <w:rsid w:val="26D5D3EB"/>
    <w:rsid w:val="26D99E46"/>
    <w:rsid w:val="26EB7F6B"/>
    <w:rsid w:val="26F1D61A"/>
    <w:rsid w:val="26F1E1D7"/>
    <w:rsid w:val="2705EA0F"/>
    <w:rsid w:val="270DE582"/>
    <w:rsid w:val="2716A07E"/>
    <w:rsid w:val="27198DBA"/>
    <w:rsid w:val="271E2477"/>
    <w:rsid w:val="27243735"/>
    <w:rsid w:val="27300D95"/>
    <w:rsid w:val="27319978"/>
    <w:rsid w:val="2736FF63"/>
    <w:rsid w:val="273AC99E"/>
    <w:rsid w:val="273F09D3"/>
    <w:rsid w:val="2746F509"/>
    <w:rsid w:val="27490780"/>
    <w:rsid w:val="2750F1AF"/>
    <w:rsid w:val="2769C2C5"/>
    <w:rsid w:val="27771424"/>
    <w:rsid w:val="277DF27E"/>
    <w:rsid w:val="277FAB2C"/>
    <w:rsid w:val="2780D27B"/>
    <w:rsid w:val="2785BAFB"/>
    <w:rsid w:val="279724F4"/>
    <w:rsid w:val="27AA4EDA"/>
    <w:rsid w:val="27B00A36"/>
    <w:rsid w:val="27B4F9CE"/>
    <w:rsid w:val="27BE28E6"/>
    <w:rsid w:val="27C3461A"/>
    <w:rsid w:val="27C41FA6"/>
    <w:rsid w:val="27CA3DE1"/>
    <w:rsid w:val="27DF9EB0"/>
    <w:rsid w:val="27E45A30"/>
    <w:rsid w:val="27F1FE9A"/>
    <w:rsid w:val="27F2821A"/>
    <w:rsid w:val="27FEFB65"/>
    <w:rsid w:val="280193E0"/>
    <w:rsid w:val="2807615B"/>
    <w:rsid w:val="2808C5D3"/>
    <w:rsid w:val="280EA0E3"/>
    <w:rsid w:val="2810E5FD"/>
    <w:rsid w:val="2814237F"/>
    <w:rsid w:val="2814CEB6"/>
    <w:rsid w:val="2816CB35"/>
    <w:rsid w:val="2819D95A"/>
    <w:rsid w:val="281E0A75"/>
    <w:rsid w:val="28223B03"/>
    <w:rsid w:val="2826A3DF"/>
    <w:rsid w:val="282862E8"/>
    <w:rsid w:val="2834FB80"/>
    <w:rsid w:val="283AD849"/>
    <w:rsid w:val="283D2498"/>
    <w:rsid w:val="2846F39A"/>
    <w:rsid w:val="28557F07"/>
    <w:rsid w:val="285A8525"/>
    <w:rsid w:val="28638829"/>
    <w:rsid w:val="286888A0"/>
    <w:rsid w:val="2879FBC1"/>
    <w:rsid w:val="287D9ABE"/>
    <w:rsid w:val="2890307F"/>
    <w:rsid w:val="28921D2E"/>
    <w:rsid w:val="28922BFC"/>
    <w:rsid w:val="2895AF43"/>
    <w:rsid w:val="28964AA8"/>
    <w:rsid w:val="289D6436"/>
    <w:rsid w:val="28A38153"/>
    <w:rsid w:val="28B08470"/>
    <w:rsid w:val="28B9D3D8"/>
    <w:rsid w:val="28C34CDB"/>
    <w:rsid w:val="28C73612"/>
    <w:rsid w:val="28CFA4E6"/>
    <w:rsid w:val="28D2CCD3"/>
    <w:rsid w:val="28D538DC"/>
    <w:rsid w:val="28D731D6"/>
    <w:rsid w:val="28DB0EC2"/>
    <w:rsid w:val="28DDC6F7"/>
    <w:rsid w:val="28E250D0"/>
    <w:rsid w:val="28E412ED"/>
    <w:rsid w:val="28E524C9"/>
    <w:rsid w:val="28E902AA"/>
    <w:rsid w:val="28ED15D5"/>
    <w:rsid w:val="28EFA1AC"/>
    <w:rsid w:val="28F0D29A"/>
    <w:rsid w:val="28F81D59"/>
    <w:rsid w:val="29028734"/>
    <w:rsid w:val="29046D91"/>
    <w:rsid w:val="290BE19B"/>
    <w:rsid w:val="2914EF88"/>
    <w:rsid w:val="292266C5"/>
    <w:rsid w:val="292F5630"/>
    <w:rsid w:val="2934DCAE"/>
    <w:rsid w:val="2936D959"/>
    <w:rsid w:val="29427808"/>
    <w:rsid w:val="2947D886"/>
    <w:rsid w:val="294AAFC9"/>
    <w:rsid w:val="29583F37"/>
    <w:rsid w:val="295FA623"/>
    <w:rsid w:val="2960AB40"/>
    <w:rsid w:val="296A6C6D"/>
    <w:rsid w:val="297289C2"/>
    <w:rsid w:val="29872137"/>
    <w:rsid w:val="29874881"/>
    <w:rsid w:val="298EA213"/>
    <w:rsid w:val="29A490EE"/>
    <w:rsid w:val="29A5ED19"/>
    <w:rsid w:val="29A676AB"/>
    <w:rsid w:val="29B2E815"/>
    <w:rsid w:val="29C22623"/>
    <w:rsid w:val="29C43204"/>
    <w:rsid w:val="29C484F3"/>
    <w:rsid w:val="29D4763D"/>
    <w:rsid w:val="29DD0E7D"/>
    <w:rsid w:val="29DEEA17"/>
    <w:rsid w:val="29E0768C"/>
    <w:rsid w:val="29E48AF8"/>
    <w:rsid w:val="29E7288B"/>
    <w:rsid w:val="29EEFE2B"/>
    <w:rsid w:val="29F20BA3"/>
    <w:rsid w:val="29F92E0E"/>
    <w:rsid w:val="29F99EE9"/>
    <w:rsid w:val="29FA1394"/>
    <w:rsid w:val="2A08B651"/>
    <w:rsid w:val="2A090D8D"/>
    <w:rsid w:val="2A0A7415"/>
    <w:rsid w:val="2A0CE6F7"/>
    <w:rsid w:val="2A11CA9D"/>
    <w:rsid w:val="2A1F44FF"/>
    <w:rsid w:val="2A2012A8"/>
    <w:rsid w:val="2A21D570"/>
    <w:rsid w:val="2A2644FC"/>
    <w:rsid w:val="2A30A499"/>
    <w:rsid w:val="2A358B4D"/>
    <w:rsid w:val="2A364D56"/>
    <w:rsid w:val="2A37B83A"/>
    <w:rsid w:val="2A445539"/>
    <w:rsid w:val="2A490602"/>
    <w:rsid w:val="2A4E4754"/>
    <w:rsid w:val="2A4EF6D3"/>
    <w:rsid w:val="2A51EBF5"/>
    <w:rsid w:val="2A5B9AE2"/>
    <w:rsid w:val="2A67DD28"/>
    <w:rsid w:val="2A76D613"/>
    <w:rsid w:val="2A840890"/>
    <w:rsid w:val="2A9B0253"/>
    <w:rsid w:val="2AA04A69"/>
    <w:rsid w:val="2AA96691"/>
    <w:rsid w:val="2AAEA874"/>
    <w:rsid w:val="2AB105D4"/>
    <w:rsid w:val="2AB8A8C8"/>
    <w:rsid w:val="2AD5A73D"/>
    <w:rsid w:val="2AEBDEA7"/>
    <w:rsid w:val="2AF149F0"/>
    <w:rsid w:val="2AF24192"/>
    <w:rsid w:val="2AF254EF"/>
    <w:rsid w:val="2AF63A8A"/>
    <w:rsid w:val="2B0220C4"/>
    <w:rsid w:val="2B221C5F"/>
    <w:rsid w:val="2B25245D"/>
    <w:rsid w:val="2B28D623"/>
    <w:rsid w:val="2B2BA6F1"/>
    <w:rsid w:val="2B314FDA"/>
    <w:rsid w:val="2B3C0DE1"/>
    <w:rsid w:val="2B3D0A69"/>
    <w:rsid w:val="2B40FF51"/>
    <w:rsid w:val="2B486A0C"/>
    <w:rsid w:val="2B4B58C3"/>
    <w:rsid w:val="2B680033"/>
    <w:rsid w:val="2B6E1F77"/>
    <w:rsid w:val="2B6E342C"/>
    <w:rsid w:val="2B7049C6"/>
    <w:rsid w:val="2B8955E1"/>
    <w:rsid w:val="2B900615"/>
    <w:rsid w:val="2B951979"/>
    <w:rsid w:val="2B9976FC"/>
    <w:rsid w:val="2B9ACC64"/>
    <w:rsid w:val="2BA5CCE1"/>
    <w:rsid w:val="2BA64010"/>
    <w:rsid w:val="2BAA1AEB"/>
    <w:rsid w:val="2BAC011A"/>
    <w:rsid w:val="2BB6B844"/>
    <w:rsid w:val="2BC1B0E9"/>
    <w:rsid w:val="2BC288B3"/>
    <w:rsid w:val="2BC710C5"/>
    <w:rsid w:val="2BCBB725"/>
    <w:rsid w:val="2BCEDE3E"/>
    <w:rsid w:val="2BEB1BA6"/>
    <w:rsid w:val="2BEBF4DA"/>
    <w:rsid w:val="2C090F26"/>
    <w:rsid w:val="2C16E1CD"/>
    <w:rsid w:val="2C267D4E"/>
    <w:rsid w:val="2C3742C8"/>
    <w:rsid w:val="2C443933"/>
    <w:rsid w:val="2C4D446D"/>
    <w:rsid w:val="2C539BF0"/>
    <w:rsid w:val="2C608A79"/>
    <w:rsid w:val="2C63BCD5"/>
    <w:rsid w:val="2C727660"/>
    <w:rsid w:val="2C772D1D"/>
    <w:rsid w:val="2C7A044C"/>
    <w:rsid w:val="2C7B9EE5"/>
    <w:rsid w:val="2C810667"/>
    <w:rsid w:val="2C81663E"/>
    <w:rsid w:val="2C87C85B"/>
    <w:rsid w:val="2C893E38"/>
    <w:rsid w:val="2C960B17"/>
    <w:rsid w:val="2CB176D3"/>
    <w:rsid w:val="2CC3CA29"/>
    <w:rsid w:val="2CC7E306"/>
    <w:rsid w:val="2CE27809"/>
    <w:rsid w:val="2CF38D0D"/>
    <w:rsid w:val="2CFD0633"/>
    <w:rsid w:val="2D06F436"/>
    <w:rsid w:val="2D09EC0E"/>
    <w:rsid w:val="2D15E415"/>
    <w:rsid w:val="2D15F3DF"/>
    <w:rsid w:val="2D1A1386"/>
    <w:rsid w:val="2D2C9963"/>
    <w:rsid w:val="2D2F1D13"/>
    <w:rsid w:val="2D308EEA"/>
    <w:rsid w:val="2D31F828"/>
    <w:rsid w:val="2D35671D"/>
    <w:rsid w:val="2D38EF1A"/>
    <w:rsid w:val="2D3E1D7A"/>
    <w:rsid w:val="2D3EC792"/>
    <w:rsid w:val="2D48C0B1"/>
    <w:rsid w:val="2D4F9945"/>
    <w:rsid w:val="2D532AC9"/>
    <w:rsid w:val="2D585EB2"/>
    <w:rsid w:val="2D63504B"/>
    <w:rsid w:val="2D6B6B9D"/>
    <w:rsid w:val="2D7338DA"/>
    <w:rsid w:val="2D7DACF1"/>
    <w:rsid w:val="2D8702FD"/>
    <w:rsid w:val="2D99E5D5"/>
    <w:rsid w:val="2D9A9EC6"/>
    <w:rsid w:val="2D9FE47B"/>
    <w:rsid w:val="2DA622A7"/>
    <w:rsid w:val="2DAF51CD"/>
    <w:rsid w:val="2DB2DBA5"/>
    <w:rsid w:val="2DB60D22"/>
    <w:rsid w:val="2DB62A4A"/>
    <w:rsid w:val="2DB813D7"/>
    <w:rsid w:val="2DBE239B"/>
    <w:rsid w:val="2DCCE5E9"/>
    <w:rsid w:val="2DD9B359"/>
    <w:rsid w:val="2DF0E5B4"/>
    <w:rsid w:val="2E0ACA91"/>
    <w:rsid w:val="2E18A588"/>
    <w:rsid w:val="2E1D1347"/>
    <w:rsid w:val="2E26D570"/>
    <w:rsid w:val="2E2C9A08"/>
    <w:rsid w:val="2E467BB2"/>
    <w:rsid w:val="2E4E1B47"/>
    <w:rsid w:val="2E4E5C3F"/>
    <w:rsid w:val="2E4EF81D"/>
    <w:rsid w:val="2E5A8E42"/>
    <w:rsid w:val="2E62C003"/>
    <w:rsid w:val="2E68FC73"/>
    <w:rsid w:val="2E735271"/>
    <w:rsid w:val="2E7B1324"/>
    <w:rsid w:val="2E7F3C99"/>
    <w:rsid w:val="2E87B80E"/>
    <w:rsid w:val="2E8A2098"/>
    <w:rsid w:val="2E8AF89C"/>
    <w:rsid w:val="2E972360"/>
    <w:rsid w:val="2E99D533"/>
    <w:rsid w:val="2EA5C039"/>
    <w:rsid w:val="2EA5F30A"/>
    <w:rsid w:val="2EAC7EB2"/>
    <w:rsid w:val="2ED0BE13"/>
    <w:rsid w:val="2ED9B5A2"/>
    <w:rsid w:val="2EE3F13A"/>
    <w:rsid w:val="2EE4604F"/>
    <w:rsid w:val="2EED76AE"/>
    <w:rsid w:val="2EFDD6CC"/>
    <w:rsid w:val="2F10761D"/>
    <w:rsid w:val="2F19620E"/>
    <w:rsid w:val="2F21945F"/>
    <w:rsid w:val="2F229E7C"/>
    <w:rsid w:val="2F2A349C"/>
    <w:rsid w:val="2F3B298B"/>
    <w:rsid w:val="2F3BB458"/>
    <w:rsid w:val="2F40E4A7"/>
    <w:rsid w:val="2F4AD49D"/>
    <w:rsid w:val="2F4B5B5B"/>
    <w:rsid w:val="2F4E5EED"/>
    <w:rsid w:val="2F4F01E5"/>
    <w:rsid w:val="2F5D3108"/>
    <w:rsid w:val="2F612398"/>
    <w:rsid w:val="2F615225"/>
    <w:rsid w:val="2F6E4EE0"/>
    <w:rsid w:val="2F6F25B5"/>
    <w:rsid w:val="2F70F9C9"/>
    <w:rsid w:val="2F732D69"/>
    <w:rsid w:val="2F73F1AD"/>
    <w:rsid w:val="2F76DB4C"/>
    <w:rsid w:val="2F79D6DC"/>
    <w:rsid w:val="2F7A6CFE"/>
    <w:rsid w:val="2F90194A"/>
    <w:rsid w:val="2F917B10"/>
    <w:rsid w:val="2F9F8753"/>
    <w:rsid w:val="2FA4CFF8"/>
    <w:rsid w:val="2FB1C23C"/>
    <w:rsid w:val="2FB3AE90"/>
    <w:rsid w:val="2FB41584"/>
    <w:rsid w:val="2FB89C9B"/>
    <w:rsid w:val="2FD11B96"/>
    <w:rsid w:val="2FD2A777"/>
    <w:rsid w:val="2FD5BC92"/>
    <w:rsid w:val="2FD86BF6"/>
    <w:rsid w:val="2FDC9CE0"/>
    <w:rsid w:val="2FF40E2D"/>
    <w:rsid w:val="2FFA1886"/>
    <w:rsid w:val="3002941F"/>
    <w:rsid w:val="300593C9"/>
    <w:rsid w:val="3006864A"/>
    <w:rsid w:val="300A09E1"/>
    <w:rsid w:val="30155E97"/>
    <w:rsid w:val="30157876"/>
    <w:rsid w:val="30191A24"/>
    <w:rsid w:val="301B0B6C"/>
    <w:rsid w:val="301B438F"/>
    <w:rsid w:val="301B7DB7"/>
    <w:rsid w:val="301B9D73"/>
    <w:rsid w:val="302BDDA7"/>
    <w:rsid w:val="302E0B66"/>
    <w:rsid w:val="3031AE51"/>
    <w:rsid w:val="303B5398"/>
    <w:rsid w:val="303B73CC"/>
    <w:rsid w:val="303C7895"/>
    <w:rsid w:val="303E5208"/>
    <w:rsid w:val="303EA497"/>
    <w:rsid w:val="303EC37B"/>
    <w:rsid w:val="3041C36B"/>
    <w:rsid w:val="304318B6"/>
    <w:rsid w:val="30592322"/>
    <w:rsid w:val="305D85C6"/>
    <w:rsid w:val="305E3BC7"/>
    <w:rsid w:val="306746BE"/>
    <w:rsid w:val="3071B635"/>
    <w:rsid w:val="3077CB92"/>
    <w:rsid w:val="3077F7D5"/>
    <w:rsid w:val="3079BCA1"/>
    <w:rsid w:val="3087EB3E"/>
    <w:rsid w:val="309372C8"/>
    <w:rsid w:val="309A1A08"/>
    <w:rsid w:val="30A415E0"/>
    <w:rsid w:val="30A86E69"/>
    <w:rsid w:val="30AB09BA"/>
    <w:rsid w:val="30B22024"/>
    <w:rsid w:val="30B27BC2"/>
    <w:rsid w:val="30B390A6"/>
    <w:rsid w:val="30BBD1DD"/>
    <w:rsid w:val="30BC6428"/>
    <w:rsid w:val="30D1D6A2"/>
    <w:rsid w:val="30D21D1B"/>
    <w:rsid w:val="30D4E4AB"/>
    <w:rsid w:val="30E3A1A8"/>
    <w:rsid w:val="30EBA85E"/>
    <w:rsid w:val="30EDD0DE"/>
    <w:rsid w:val="30EF5A7B"/>
    <w:rsid w:val="30F3C7A2"/>
    <w:rsid w:val="30F4AA07"/>
    <w:rsid w:val="3103C5D2"/>
    <w:rsid w:val="310671D5"/>
    <w:rsid w:val="31075006"/>
    <w:rsid w:val="310BECA4"/>
    <w:rsid w:val="310D21B8"/>
    <w:rsid w:val="31121F8E"/>
    <w:rsid w:val="31227930"/>
    <w:rsid w:val="3128C3F5"/>
    <w:rsid w:val="312BD7E5"/>
    <w:rsid w:val="31342E4E"/>
    <w:rsid w:val="314B3D58"/>
    <w:rsid w:val="314B9A5F"/>
    <w:rsid w:val="314DC139"/>
    <w:rsid w:val="315998BE"/>
    <w:rsid w:val="315AA8D6"/>
    <w:rsid w:val="315B108C"/>
    <w:rsid w:val="315C20A7"/>
    <w:rsid w:val="316333DF"/>
    <w:rsid w:val="316AE51A"/>
    <w:rsid w:val="316C7B56"/>
    <w:rsid w:val="3173BCA0"/>
    <w:rsid w:val="317D9A7F"/>
    <w:rsid w:val="317FDEFA"/>
    <w:rsid w:val="3190F419"/>
    <w:rsid w:val="3198C551"/>
    <w:rsid w:val="319C25FC"/>
    <w:rsid w:val="31A51359"/>
    <w:rsid w:val="31AD152F"/>
    <w:rsid w:val="31AF0D4B"/>
    <w:rsid w:val="31B4F738"/>
    <w:rsid w:val="31B8EF2D"/>
    <w:rsid w:val="31BB8587"/>
    <w:rsid w:val="31BD5675"/>
    <w:rsid w:val="31BF8653"/>
    <w:rsid w:val="31E2A86D"/>
    <w:rsid w:val="31E5F1D1"/>
    <w:rsid w:val="31E7CB88"/>
    <w:rsid w:val="31EDF9AD"/>
    <w:rsid w:val="31F12CE2"/>
    <w:rsid w:val="31F3A53E"/>
    <w:rsid w:val="32017F13"/>
    <w:rsid w:val="3202EA35"/>
    <w:rsid w:val="3209A7BB"/>
    <w:rsid w:val="3223E0A5"/>
    <w:rsid w:val="3224890C"/>
    <w:rsid w:val="322B578F"/>
    <w:rsid w:val="323DCBBD"/>
    <w:rsid w:val="324A9C18"/>
    <w:rsid w:val="324C3DD7"/>
    <w:rsid w:val="324D23C3"/>
    <w:rsid w:val="32509829"/>
    <w:rsid w:val="326D0DAF"/>
    <w:rsid w:val="32752DB2"/>
    <w:rsid w:val="328A662A"/>
    <w:rsid w:val="329AA10A"/>
    <w:rsid w:val="329B4CBA"/>
    <w:rsid w:val="329DA7C5"/>
    <w:rsid w:val="329E0417"/>
    <w:rsid w:val="32A8D281"/>
    <w:rsid w:val="32B21390"/>
    <w:rsid w:val="32B2D026"/>
    <w:rsid w:val="32B9C877"/>
    <w:rsid w:val="32BB2917"/>
    <w:rsid w:val="32C3AAEE"/>
    <w:rsid w:val="32C64F9E"/>
    <w:rsid w:val="32C8FF06"/>
    <w:rsid w:val="32CD063E"/>
    <w:rsid w:val="32D36FB4"/>
    <w:rsid w:val="32DAD3C5"/>
    <w:rsid w:val="32DD12B4"/>
    <w:rsid w:val="32DE88BB"/>
    <w:rsid w:val="32E537A0"/>
    <w:rsid w:val="32E5D987"/>
    <w:rsid w:val="32EC89F8"/>
    <w:rsid w:val="32EFC94E"/>
    <w:rsid w:val="32F52203"/>
    <w:rsid w:val="32FF9DA3"/>
    <w:rsid w:val="33103EA6"/>
    <w:rsid w:val="331E4DD1"/>
    <w:rsid w:val="332DA366"/>
    <w:rsid w:val="33335429"/>
    <w:rsid w:val="33348099"/>
    <w:rsid w:val="333AA8EA"/>
    <w:rsid w:val="333F01B8"/>
    <w:rsid w:val="3346A241"/>
    <w:rsid w:val="3347AA53"/>
    <w:rsid w:val="334DD29F"/>
    <w:rsid w:val="335189B8"/>
    <w:rsid w:val="3352FE3F"/>
    <w:rsid w:val="3356611D"/>
    <w:rsid w:val="336998B6"/>
    <w:rsid w:val="3376E5E8"/>
    <w:rsid w:val="33776E13"/>
    <w:rsid w:val="33794343"/>
    <w:rsid w:val="33813599"/>
    <w:rsid w:val="338718B5"/>
    <w:rsid w:val="339DE4C6"/>
    <w:rsid w:val="33A29D05"/>
    <w:rsid w:val="33ADAF90"/>
    <w:rsid w:val="33B9E507"/>
    <w:rsid w:val="33C69287"/>
    <w:rsid w:val="33CB185E"/>
    <w:rsid w:val="33D02048"/>
    <w:rsid w:val="33DB6789"/>
    <w:rsid w:val="33DC92A8"/>
    <w:rsid w:val="33DF120C"/>
    <w:rsid w:val="33EC9385"/>
    <w:rsid w:val="33F32719"/>
    <w:rsid w:val="340402CE"/>
    <w:rsid w:val="340646E8"/>
    <w:rsid w:val="340A6F73"/>
    <w:rsid w:val="3423B62F"/>
    <w:rsid w:val="3423F580"/>
    <w:rsid w:val="3426368C"/>
    <w:rsid w:val="34265F31"/>
    <w:rsid w:val="34384FE5"/>
    <w:rsid w:val="343C2AD1"/>
    <w:rsid w:val="343CCF96"/>
    <w:rsid w:val="3456C14A"/>
    <w:rsid w:val="3468D5F1"/>
    <w:rsid w:val="3473683D"/>
    <w:rsid w:val="34766693"/>
    <w:rsid w:val="34798A46"/>
    <w:rsid w:val="348C52C2"/>
    <w:rsid w:val="3495BF99"/>
    <w:rsid w:val="3495D0CB"/>
    <w:rsid w:val="349B69E7"/>
    <w:rsid w:val="34B4FA26"/>
    <w:rsid w:val="34BD2783"/>
    <w:rsid w:val="34BEA36C"/>
    <w:rsid w:val="34C7E838"/>
    <w:rsid w:val="34C7EC71"/>
    <w:rsid w:val="34CB3200"/>
    <w:rsid w:val="34CBE03A"/>
    <w:rsid w:val="34CBF2B8"/>
    <w:rsid w:val="34CDB0D1"/>
    <w:rsid w:val="34D04318"/>
    <w:rsid w:val="34E5B3BE"/>
    <w:rsid w:val="34E8C879"/>
    <w:rsid w:val="34EF26E1"/>
    <w:rsid w:val="34F3F5B2"/>
    <w:rsid w:val="34FB1793"/>
    <w:rsid w:val="350931D6"/>
    <w:rsid w:val="350CA8DA"/>
    <w:rsid w:val="351077C4"/>
    <w:rsid w:val="35119AFE"/>
    <w:rsid w:val="351359D4"/>
    <w:rsid w:val="351652F5"/>
    <w:rsid w:val="35178C60"/>
    <w:rsid w:val="351A3514"/>
    <w:rsid w:val="3527B2C6"/>
    <w:rsid w:val="3527DB24"/>
    <w:rsid w:val="3539B527"/>
    <w:rsid w:val="353C1011"/>
    <w:rsid w:val="354D8AAD"/>
    <w:rsid w:val="3551CB41"/>
    <w:rsid w:val="35543F4A"/>
    <w:rsid w:val="355769E0"/>
    <w:rsid w:val="3566654D"/>
    <w:rsid w:val="35680F66"/>
    <w:rsid w:val="35693AFD"/>
    <w:rsid w:val="356AB478"/>
    <w:rsid w:val="35709C8A"/>
    <w:rsid w:val="3570CA14"/>
    <w:rsid w:val="3582B6DA"/>
    <w:rsid w:val="35875958"/>
    <w:rsid w:val="358D632B"/>
    <w:rsid w:val="358D96CD"/>
    <w:rsid w:val="35911568"/>
    <w:rsid w:val="359205B4"/>
    <w:rsid w:val="3593329F"/>
    <w:rsid w:val="359411A2"/>
    <w:rsid w:val="35A3EFAD"/>
    <w:rsid w:val="35A6794A"/>
    <w:rsid w:val="35ABA85B"/>
    <w:rsid w:val="35AF5369"/>
    <w:rsid w:val="35B5E861"/>
    <w:rsid w:val="35B98EAB"/>
    <w:rsid w:val="35BAB9B3"/>
    <w:rsid w:val="35BD2406"/>
    <w:rsid w:val="35C05F2B"/>
    <w:rsid w:val="35C44E43"/>
    <w:rsid w:val="35D6BAF0"/>
    <w:rsid w:val="35E6314F"/>
    <w:rsid w:val="35E67767"/>
    <w:rsid w:val="35E80939"/>
    <w:rsid w:val="35E8273D"/>
    <w:rsid w:val="35EBC8AB"/>
    <w:rsid w:val="35F0190B"/>
    <w:rsid w:val="35F23D0E"/>
    <w:rsid w:val="35F65A9A"/>
    <w:rsid w:val="35F682EA"/>
    <w:rsid w:val="35F8BB1F"/>
    <w:rsid w:val="360DCE08"/>
    <w:rsid w:val="3610E6E5"/>
    <w:rsid w:val="36140D7C"/>
    <w:rsid w:val="3622B7B1"/>
    <w:rsid w:val="362CD30D"/>
    <w:rsid w:val="3634C62D"/>
    <w:rsid w:val="36433A8F"/>
    <w:rsid w:val="364A39C1"/>
    <w:rsid w:val="36568425"/>
    <w:rsid w:val="365CAD1F"/>
    <w:rsid w:val="365F38F9"/>
    <w:rsid w:val="365F57C8"/>
    <w:rsid w:val="365FCF1E"/>
    <w:rsid w:val="3661B712"/>
    <w:rsid w:val="3668FA9F"/>
    <w:rsid w:val="366D7630"/>
    <w:rsid w:val="3671D177"/>
    <w:rsid w:val="367C9D54"/>
    <w:rsid w:val="367D9473"/>
    <w:rsid w:val="368199E3"/>
    <w:rsid w:val="368B4044"/>
    <w:rsid w:val="368F862B"/>
    <w:rsid w:val="36927D84"/>
    <w:rsid w:val="3695E0FB"/>
    <w:rsid w:val="36AFD24C"/>
    <w:rsid w:val="36B4C103"/>
    <w:rsid w:val="36BC0537"/>
    <w:rsid w:val="36C30D99"/>
    <w:rsid w:val="36CD753D"/>
    <w:rsid w:val="36D71128"/>
    <w:rsid w:val="36E4B2B6"/>
    <w:rsid w:val="36F9B906"/>
    <w:rsid w:val="36FC3224"/>
    <w:rsid w:val="370E0C96"/>
    <w:rsid w:val="37146ED3"/>
    <w:rsid w:val="37309B6C"/>
    <w:rsid w:val="37386A2D"/>
    <w:rsid w:val="373F69EF"/>
    <w:rsid w:val="3742B9F3"/>
    <w:rsid w:val="3754D00C"/>
    <w:rsid w:val="375F7C26"/>
    <w:rsid w:val="3766D52C"/>
    <w:rsid w:val="377147D8"/>
    <w:rsid w:val="3773052B"/>
    <w:rsid w:val="377596B1"/>
    <w:rsid w:val="3778EFBD"/>
    <w:rsid w:val="3779C733"/>
    <w:rsid w:val="3786CB6B"/>
    <w:rsid w:val="378B767A"/>
    <w:rsid w:val="378E620C"/>
    <w:rsid w:val="3792BD54"/>
    <w:rsid w:val="3792E021"/>
    <w:rsid w:val="3793D859"/>
    <w:rsid w:val="379842D3"/>
    <w:rsid w:val="379E7406"/>
    <w:rsid w:val="37A29C50"/>
    <w:rsid w:val="37A2CD18"/>
    <w:rsid w:val="37A5423A"/>
    <w:rsid w:val="37ADEB9F"/>
    <w:rsid w:val="37BE2ECD"/>
    <w:rsid w:val="37BE5796"/>
    <w:rsid w:val="37C82E01"/>
    <w:rsid w:val="37CA9535"/>
    <w:rsid w:val="37D01D84"/>
    <w:rsid w:val="37D1C7C2"/>
    <w:rsid w:val="37D48637"/>
    <w:rsid w:val="37D5E653"/>
    <w:rsid w:val="37D84DB0"/>
    <w:rsid w:val="37DED113"/>
    <w:rsid w:val="37E1F93A"/>
    <w:rsid w:val="37F062D5"/>
    <w:rsid w:val="37F32CBA"/>
    <w:rsid w:val="37FFAB46"/>
    <w:rsid w:val="38026561"/>
    <w:rsid w:val="3802BA44"/>
    <w:rsid w:val="380BEBAF"/>
    <w:rsid w:val="38115B75"/>
    <w:rsid w:val="3817CC3F"/>
    <w:rsid w:val="38194BCF"/>
    <w:rsid w:val="38198050"/>
    <w:rsid w:val="381C0133"/>
    <w:rsid w:val="381C31C7"/>
    <w:rsid w:val="381E4922"/>
    <w:rsid w:val="38221EB1"/>
    <w:rsid w:val="3826305B"/>
    <w:rsid w:val="3836943E"/>
    <w:rsid w:val="38469AC1"/>
    <w:rsid w:val="38561CAA"/>
    <w:rsid w:val="385D41B6"/>
    <w:rsid w:val="386D20CE"/>
    <w:rsid w:val="386DD04B"/>
    <w:rsid w:val="3870F2E2"/>
    <w:rsid w:val="38718C45"/>
    <w:rsid w:val="38767256"/>
    <w:rsid w:val="3876FAB3"/>
    <w:rsid w:val="387B710D"/>
    <w:rsid w:val="3898C69C"/>
    <w:rsid w:val="38A1B4E7"/>
    <w:rsid w:val="38A27882"/>
    <w:rsid w:val="38A382D3"/>
    <w:rsid w:val="38AC7182"/>
    <w:rsid w:val="38B6BE32"/>
    <w:rsid w:val="38BD5B6C"/>
    <w:rsid w:val="38C0396F"/>
    <w:rsid w:val="38DD7041"/>
    <w:rsid w:val="38E0DD43"/>
    <w:rsid w:val="38E5BFDC"/>
    <w:rsid w:val="38EF3D37"/>
    <w:rsid w:val="38EF9307"/>
    <w:rsid w:val="38F2A02C"/>
    <w:rsid w:val="38F40DC5"/>
    <w:rsid w:val="390993DE"/>
    <w:rsid w:val="390AB226"/>
    <w:rsid w:val="3910ED03"/>
    <w:rsid w:val="39112382"/>
    <w:rsid w:val="3914DDE1"/>
    <w:rsid w:val="391A5972"/>
    <w:rsid w:val="39234CC6"/>
    <w:rsid w:val="3923A552"/>
    <w:rsid w:val="39255B16"/>
    <w:rsid w:val="392602F0"/>
    <w:rsid w:val="39334F19"/>
    <w:rsid w:val="39397615"/>
    <w:rsid w:val="39435ACA"/>
    <w:rsid w:val="3952A354"/>
    <w:rsid w:val="3959253E"/>
    <w:rsid w:val="395D17CC"/>
    <w:rsid w:val="396E3633"/>
    <w:rsid w:val="396EEE48"/>
    <w:rsid w:val="39738B49"/>
    <w:rsid w:val="39775BB1"/>
    <w:rsid w:val="397847C9"/>
    <w:rsid w:val="3980FB91"/>
    <w:rsid w:val="398D58E8"/>
    <w:rsid w:val="398F63AD"/>
    <w:rsid w:val="39916E9F"/>
    <w:rsid w:val="399225BB"/>
    <w:rsid w:val="39A5BE4B"/>
    <w:rsid w:val="39AB7C82"/>
    <w:rsid w:val="39B2A309"/>
    <w:rsid w:val="39B93B42"/>
    <w:rsid w:val="39C53E8A"/>
    <w:rsid w:val="39CD40CF"/>
    <w:rsid w:val="39D1F103"/>
    <w:rsid w:val="39D26442"/>
    <w:rsid w:val="39D37996"/>
    <w:rsid w:val="39D5771B"/>
    <w:rsid w:val="39D883B5"/>
    <w:rsid w:val="39D9BC7B"/>
    <w:rsid w:val="39DE75E2"/>
    <w:rsid w:val="39EA21F6"/>
    <w:rsid w:val="39ED07CD"/>
    <w:rsid w:val="39F08176"/>
    <w:rsid w:val="39F75201"/>
    <w:rsid w:val="39F762FC"/>
    <w:rsid w:val="39FD9352"/>
    <w:rsid w:val="3A1901CB"/>
    <w:rsid w:val="3A19738B"/>
    <w:rsid w:val="3A243369"/>
    <w:rsid w:val="3A2A1C02"/>
    <w:rsid w:val="3A2BD9FD"/>
    <w:rsid w:val="3A31AAF4"/>
    <w:rsid w:val="3A3904E8"/>
    <w:rsid w:val="3A39FA33"/>
    <w:rsid w:val="3A47ABBE"/>
    <w:rsid w:val="3A48FB83"/>
    <w:rsid w:val="3A4F5950"/>
    <w:rsid w:val="3A5FDC28"/>
    <w:rsid w:val="3A5FF556"/>
    <w:rsid w:val="3A6CCF0A"/>
    <w:rsid w:val="3A6D97FD"/>
    <w:rsid w:val="3A6EA3F1"/>
    <w:rsid w:val="3A6EEE8D"/>
    <w:rsid w:val="3A782412"/>
    <w:rsid w:val="3A79A0D4"/>
    <w:rsid w:val="3A7C0914"/>
    <w:rsid w:val="3A98BF0A"/>
    <w:rsid w:val="3AA5D26C"/>
    <w:rsid w:val="3AA64789"/>
    <w:rsid w:val="3AA96115"/>
    <w:rsid w:val="3AB3BFAD"/>
    <w:rsid w:val="3ABB16F3"/>
    <w:rsid w:val="3ABB4925"/>
    <w:rsid w:val="3ACE545F"/>
    <w:rsid w:val="3AD4AE04"/>
    <w:rsid w:val="3AE15287"/>
    <w:rsid w:val="3AE83B08"/>
    <w:rsid w:val="3AF78A8E"/>
    <w:rsid w:val="3AFAD304"/>
    <w:rsid w:val="3B0284F1"/>
    <w:rsid w:val="3B0F5052"/>
    <w:rsid w:val="3B10F27D"/>
    <w:rsid w:val="3B11E77E"/>
    <w:rsid w:val="3B18AD88"/>
    <w:rsid w:val="3B1ADDDD"/>
    <w:rsid w:val="3B1CDFB1"/>
    <w:rsid w:val="3B3788F8"/>
    <w:rsid w:val="3B39463F"/>
    <w:rsid w:val="3B3A9A84"/>
    <w:rsid w:val="3B5325EC"/>
    <w:rsid w:val="3B5B2727"/>
    <w:rsid w:val="3B5B34D8"/>
    <w:rsid w:val="3B621664"/>
    <w:rsid w:val="3B65102E"/>
    <w:rsid w:val="3B67B856"/>
    <w:rsid w:val="3B770A54"/>
    <w:rsid w:val="3B7ADFC4"/>
    <w:rsid w:val="3B7DE48F"/>
    <w:rsid w:val="3B8493F8"/>
    <w:rsid w:val="3B85F3A6"/>
    <w:rsid w:val="3B88A6D9"/>
    <w:rsid w:val="3B8D32B1"/>
    <w:rsid w:val="3B8F63B0"/>
    <w:rsid w:val="3B921FB0"/>
    <w:rsid w:val="3BA5C8A4"/>
    <w:rsid w:val="3BAAD30F"/>
    <w:rsid w:val="3BAFEB33"/>
    <w:rsid w:val="3BBC7CF5"/>
    <w:rsid w:val="3BC3A73A"/>
    <w:rsid w:val="3BCAC4E9"/>
    <w:rsid w:val="3BCD6C80"/>
    <w:rsid w:val="3BCEDDEB"/>
    <w:rsid w:val="3BD7542F"/>
    <w:rsid w:val="3BD8CBA4"/>
    <w:rsid w:val="3BDBA6E5"/>
    <w:rsid w:val="3BE60AAC"/>
    <w:rsid w:val="3BE9509B"/>
    <w:rsid w:val="3BEA1E05"/>
    <w:rsid w:val="3BEB9B9A"/>
    <w:rsid w:val="3BF42FE4"/>
    <w:rsid w:val="3C0A7DA8"/>
    <w:rsid w:val="3C14D2DB"/>
    <w:rsid w:val="3C188045"/>
    <w:rsid w:val="3C1A8E48"/>
    <w:rsid w:val="3C278081"/>
    <w:rsid w:val="3C2C05E3"/>
    <w:rsid w:val="3C34B246"/>
    <w:rsid w:val="3C4308DB"/>
    <w:rsid w:val="3C5BBC04"/>
    <w:rsid w:val="3C645111"/>
    <w:rsid w:val="3C64FF8F"/>
    <w:rsid w:val="3C673B97"/>
    <w:rsid w:val="3C69129E"/>
    <w:rsid w:val="3C6A10F0"/>
    <w:rsid w:val="3C7DA685"/>
    <w:rsid w:val="3C8BB89A"/>
    <w:rsid w:val="3C8D536F"/>
    <w:rsid w:val="3C992653"/>
    <w:rsid w:val="3CA3C861"/>
    <w:rsid w:val="3CBF4448"/>
    <w:rsid w:val="3CC43EC5"/>
    <w:rsid w:val="3CC50145"/>
    <w:rsid w:val="3CCA2BC4"/>
    <w:rsid w:val="3CD8B412"/>
    <w:rsid w:val="3CDA3461"/>
    <w:rsid w:val="3CE14DCF"/>
    <w:rsid w:val="3CF0C101"/>
    <w:rsid w:val="3CF12F94"/>
    <w:rsid w:val="3CF18B06"/>
    <w:rsid w:val="3CF2BFAE"/>
    <w:rsid w:val="3CF791AD"/>
    <w:rsid w:val="3CFFF236"/>
    <w:rsid w:val="3D04BB72"/>
    <w:rsid w:val="3D04E328"/>
    <w:rsid w:val="3D06623E"/>
    <w:rsid w:val="3D1C357F"/>
    <w:rsid w:val="3D2013A2"/>
    <w:rsid w:val="3D24237E"/>
    <w:rsid w:val="3D2F0561"/>
    <w:rsid w:val="3D2FF665"/>
    <w:rsid w:val="3D374D63"/>
    <w:rsid w:val="3D3CED4C"/>
    <w:rsid w:val="3D456B3E"/>
    <w:rsid w:val="3D49A7D2"/>
    <w:rsid w:val="3D49C3D5"/>
    <w:rsid w:val="3D5105B8"/>
    <w:rsid w:val="3D62E5B6"/>
    <w:rsid w:val="3D6B9553"/>
    <w:rsid w:val="3D820FF9"/>
    <w:rsid w:val="3D8ADF27"/>
    <w:rsid w:val="3D8B2B74"/>
    <w:rsid w:val="3D8E4469"/>
    <w:rsid w:val="3D975F19"/>
    <w:rsid w:val="3D9A0E83"/>
    <w:rsid w:val="3D9C3010"/>
    <w:rsid w:val="3DA1F043"/>
    <w:rsid w:val="3DA3AD33"/>
    <w:rsid w:val="3DAA06FD"/>
    <w:rsid w:val="3DB0204C"/>
    <w:rsid w:val="3DB12D45"/>
    <w:rsid w:val="3DB75777"/>
    <w:rsid w:val="3DBBF234"/>
    <w:rsid w:val="3DBC626E"/>
    <w:rsid w:val="3DD4B41F"/>
    <w:rsid w:val="3DD4EBFC"/>
    <w:rsid w:val="3DE2B5F6"/>
    <w:rsid w:val="3E149509"/>
    <w:rsid w:val="3E1AE0C5"/>
    <w:rsid w:val="3E2222EE"/>
    <w:rsid w:val="3E260669"/>
    <w:rsid w:val="3E2A2646"/>
    <w:rsid w:val="3E2D5028"/>
    <w:rsid w:val="3E2FC1A2"/>
    <w:rsid w:val="3E451E6D"/>
    <w:rsid w:val="3E47AD15"/>
    <w:rsid w:val="3E4AFCAE"/>
    <w:rsid w:val="3E57D165"/>
    <w:rsid w:val="3E5A1F90"/>
    <w:rsid w:val="3E6A7CDA"/>
    <w:rsid w:val="3E6CB0AA"/>
    <w:rsid w:val="3E79AD3D"/>
    <w:rsid w:val="3E870DC3"/>
    <w:rsid w:val="3E8AE1B4"/>
    <w:rsid w:val="3E8B391F"/>
    <w:rsid w:val="3E962E81"/>
    <w:rsid w:val="3E991E75"/>
    <w:rsid w:val="3E9D9CA6"/>
    <w:rsid w:val="3EA361F2"/>
    <w:rsid w:val="3EABD9CF"/>
    <w:rsid w:val="3EAED4E0"/>
    <w:rsid w:val="3EBDBC2E"/>
    <w:rsid w:val="3EC78F28"/>
    <w:rsid w:val="3ED1510B"/>
    <w:rsid w:val="3ED8E750"/>
    <w:rsid w:val="3ED9E68A"/>
    <w:rsid w:val="3EDE48A1"/>
    <w:rsid w:val="3EE1008D"/>
    <w:rsid w:val="3EE2CA5B"/>
    <w:rsid w:val="3EEC99F3"/>
    <w:rsid w:val="3EFB4514"/>
    <w:rsid w:val="3F0104B4"/>
    <w:rsid w:val="3F08F4EE"/>
    <w:rsid w:val="3F0DD750"/>
    <w:rsid w:val="3F113BDD"/>
    <w:rsid w:val="3F11D402"/>
    <w:rsid w:val="3F21D23C"/>
    <w:rsid w:val="3F22C496"/>
    <w:rsid w:val="3F261337"/>
    <w:rsid w:val="3F3208EF"/>
    <w:rsid w:val="3F3CB889"/>
    <w:rsid w:val="3F3D32E3"/>
    <w:rsid w:val="3F417667"/>
    <w:rsid w:val="3F430A9E"/>
    <w:rsid w:val="3F4310F5"/>
    <w:rsid w:val="3F50FCF9"/>
    <w:rsid w:val="3F513EF2"/>
    <w:rsid w:val="3F53E992"/>
    <w:rsid w:val="3F56296B"/>
    <w:rsid w:val="3F5BF175"/>
    <w:rsid w:val="3F6C6FA1"/>
    <w:rsid w:val="3F7462DF"/>
    <w:rsid w:val="3F7474DA"/>
    <w:rsid w:val="3F8726CE"/>
    <w:rsid w:val="3F8B8D2A"/>
    <w:rsid w:val="3F8CB0A3"/>
    <w:rsid w:val="3F93D57D"/>
    <w:rsid w:val="3FA4B7B1"/>
    <w:rsid w:val="3FA7B274"/>
    <w:rsid w:val="3FA9D2BB"/>
    <w:rsid w:val="3FAEE338"/>
    <w:rsid w:val="3FAF2EFD"/>
    <w:rsid w:val="3FBDCE6C"/>
    <w:rsid w:val="3FD059BF"/>
    <w:rsid w:val="3FD7DE6C"/>
    <w:rsid w:val="3FDADAAC"/>
    <w:rsid w:val="3FE791E8"/>
    <w:rsid w:val="4007BD89"/>
    <w:rsid w:val="40254B9E"/>
    <w:rsid w:val="4028DCE7"/>
    <w:rsid w:val="402ED08C"/>
    <w:rsid w:val="40307D60"/>
    <w:rsid w:val="40316409"/>
    <w:rsid w:val="4031C307"/>
    <w:rsid w:val="403209B1"/>
    <w:rsid w:val="4034A273"/>
    <w:rsid w:val="40374AD1"/>
    <w:rsid w:val="4038CDC8"/>
    <w:rsid w:val="4042860B"/>
    <w:rsid w:val="4044083C"/>
    <w:rsid w:val="40474374"/>
    <w:rsid w:val="405B517C"/>
    <w:rsid w:val="405CD4CB"/>
    <w:rsid w:val="406919D7"/>
    <w:rsid w:val="40714AD1"/>
    <w:rsid w:val="407B7157"/>
    <w:rsid w:val="407C9E1D"/>
    <w:rsid w:val="40817FB8"/>
    <w:rsid w:val="408FAF67"/>
    <w:rsid w:val="408FD5FE"/>
    <w:rsid w:val="40906E1E"/>
    <w:rsid w:val="4092387B"/>
    <w:rsid w:val="40943902"/>
    <w:rsid w:val="40995311"/>
    <w:rsid w:val="40A6434D"/>
    <w:rsid w:val="40AB3310"/>
    <w:rsid w:val="40BD2159"/>
    <w:rsid w:val="40BF0B5D"/>
    <w:rsid w:val="40C46E90"/>
    <w:rsid w:val="40D6D17F"/>
    <w:rsid w:val="40E4A08B"/>
    <w:rsid w:val="40E7EB34"/>
    <w:rsid w:val="40ECCCB8"/>
    <w:rsid w:val="40EF112E"/>
    <w:rsid w:val="40F13348"/>
    <w:rsid w:val="40F45020"/>
    <w:rsid w:val="40F53132"/>
    <w:rsid w:val="40FF01C3"/>
    <w:rsid w:val="4104FB34"/>
    <w:rsid w:val="410BBF34"/>
    <w:rsid w:val="412793D7"/>
    <w:rsid w:val="41377349"/>
    <w:rsid w:val="413B01A6"/>
    <w:rsid w:val="413DF185"/>
    <w:rsid w:val="413F5135"/>
    <w:rsid w:val="413FBDB7"/>
    <w:rsid w:val="4150E522"/>
    <w:rsid w:val="4155C312"/>
    <w:rsid w:val="41588B94"/>
    <w:rsid w:val="41596904"/>
    <w:rsid w:val="415EFA0D"/>
    <w:rsid w:val="415F10B1"/>
    <w:rsid w:val="41637CA1"/>
    <w:rsid w:val="4179DB2B"/>
    <w:rsid w:val="4179F808"/>
    <w:rsid w:val="4187526C"/>
    <w:rsid w:val="418A1D7A"/>
    <w:rsid w:val="418B2BFC"/>
    <w:rsid w:val="418BAD81"/>
    <w:rsid w:val="41904256"/>
    <w:rsid w:val="41A8A25D"/>
    <w:rsid w:val="41ABAB7B"/>
    <w:rsid w:val="41BC9095"/>
    <w:rsid w:val="41BE3BC0"/>
    <w:rsid w:val="41C73621"/>
    <w:rsid w:val="41D579FC"/>
    <w:rsid w:val="41DC947B"/>
    <w:rsid w:val="41FB724B"/>
    <w:rsid w:val="41FB881A"/>
    <w:rsid w:val="41FD8FEB"/>
    <w:rsid w:val="4203ECED"/>
    <w:rsid w:val="42082F6A"/>
    <w:rsid w:val="420877ED"/>
    <w:rsid w:val="420C599F"/>
    <w:rsid w:val="421156CF"/>
    <w:rsid w:val="4213375C"/>
    <w:rsid w:val="4222B534"/>
    <w:rsid w:val="4229449F"/>
    <w:rsid w:val="422B0680"/>
    <w:rsid w:val="424B0566"/>
    <w:rsid w:val="424FCA38"/>
    <w:rsid w:val="4253EFE3"/>
    <w:rsid w:val="42553FF5"/>
    <w:rsid w:val="42605A69"/>
    <w:rsid w:val="4263031A"/>
    <w:rsid w:val="42823D9F"/>
    <w:rsid w:val="428BF92C"/>
    <w:rsid w:val="4296A253"/>
    <w:rsid w:val="429AD271"/>
    <w:rsid w:val="42A5AD7F"/>
    <w:rsid w:val="42AF59C3"/>
    <w:rsid w:val="42B43664"/>
    <w:rsid w:val="42B546C5"/>
    <w:rsid w:val="42B584D9"/>
    <w:rsid w:val="42B7D2EA"/>
    <w:rsid w:val="42BE1AB4"/>
    <w:rsid w:val="42C8E153"/>
    <w:rsid w:val="42CEC64B"/>
    <w:rsid w:val="42D13504"/>
    <w:rsid w:val="42DEA823"/>
    <w:rsid w:val="42ECCFA9"/>
    <w:rsid w:val="42ECFE37"/>
    <w:rsid w:val="42F0A7F3"/>
    <w:rsid w:val="42F2D783"/>
    <w:rsid w:val="42FBB64A"/>
    <w:rsid w:val="42FF9A5C"/>
    <w:rsid w:val="43007015"/>
    <w:rsid w:val="4303B5F7"/>
    <w:rsid w:val="43097E68"/>
    <w:rsid w:val="432DFA34"/>
    <w:rsid w:val="4332C890"/>
    <w:rsid w:val="433A6902"/>
    <w:rsid w:val="43461FAB"/>
    <w:rsid w:val="43478DD6"/>
    <w:rsid w:val="434C7F78"/>
    <w:rsid w:val="434DC936"/>
    <w:rsid w:val="435E2A3D"/>
    <w:rsid w:val="436ACB48"/>
    <w:rsid w:val="4371E1B2"/>
    <w:rsid w:val="437BCDCF"/>
    <w:rsid w:val="43806F85"/>
    <w:rsid w:val="4382A653"/>
    <w:rsid w:val="4383325F"/>
    <w:rsid w:val="438532F4"/>
    <w:rsid w:val="43874D06"/>
    <w:rsid w:val="438AE3DA"/>
    <w:rsid w:val="439497F4"/>
    <w:rsid w:val="4397759F"/>
    <w:rsid w:val="4398B4F2"/>
    <w:rsid w:val="4399401E"/>
    <w:rsid w:val="43A17330"/>
    <w:rsid w:val="43AFD983"/>
    <w:rsid w:val="43B0815B"/>
    <w:rsid w:val="43B1767F"/>
    <w:rsid w:val="43B86820"/>
    <w:rsid w:val="43BE4203"/>
    <w:rsid w:val="43BF15B7"/>
    <w:rsid w:val="43C72C6E"/>
    <w:rsid w:val="43CB1182"/>
    <w:rsid w:val="43CEFF73"/>
    <w:rsid w:val="43CF99D9"/>
    <w:rsid w:val="43D25FC3"/>
    <w:rsid w:val="43D82920"/>
    <w:rsid w:val="43DF9613"/>
    <w:rsid w:val="43E3026D"/>
    <w:rsid w:val="43E7F982"/>
    <w:rsid w:val="43EFCE79"/>
    <w:rsid w:val="43F3B335"/>
    <w:rsid w:val="43F56E90"/>
    <w:rsid w:val="4410EA01"/>
    <w:rsid w:val="44135846"/>
    <w:rsid w:val="4417C3A9"/>
    <w:rsid w:val="441B9D86"/>
    <w:rsid w:val="441FC640"/>
    <w:rsid w:val="442531B7"/>
    <w:rsid w:val="4428FB8E"/>
    <w:rsid w:val="44330C63"/>
    <w:rsid w:val="443CD845"/>
    <w:rsid w:val="4440EC3B"/>
    <w:rsid w:val="4444ECA3"/>
    <w:rsid w:val="444608D2"/>
    <w:rsid w:val="444BC64D"/>
    <w:rsid w:val="4455A367"/>
    <w:rsid w:val="44566135"/>
    <w:rsid w:val="446143DD"/>
    <w:rsid w:val="446AF356"/>
    <w:rsid w:val="4472E128"/>
    <w:rsid w:val="447D105B"/>
    <w:rsid w:val="44830768"/>
    <w:rsid w:val="4493FE3C"/>
    <w:rsid w:val="449FDCD0"/>
    <w:rsid w:val="44B1182B"/>
    <w:rsid w:val="44B13178"/>
    <w:rsid w:val="44B6F887"/>
    <w:rsid w:val="44B97F54"/>
    <w:rsid w:val="44C1D54A"/>
    <w:rsid w:val="44C294A5"/>
    <w:rsid w:val="44CC5936"/>
    <w:rsid w:val="44CD8B47"/>
    <w:rsid w:val="44CEFD16"/>
    <w:rsid w:val="44D52EBE"/>
    <w:rsid w:val="44D56494"/>
    <w:rsid w:val="44D7DE58"/>
    <w:rsid w:val="44DB5A3C"/>
    <w:rsid w:val="44EBA293"/>
    <w:rsid w:val="44EC6E62"/>
    <w:rsid w:val="44F0FDB0"/>
    <w:rsid w:val="44F4C467"/>
    <w:rsid w:val="44F693FA"/>
    <w:rsid w:val="450B5BA2"/>
    <w:rsid w:val="450C89EC"/>
    <w:rsid w:val="4512F50C"/>
    <w:rsid w:val="45135D03"/>
    <w:rsid w:val="451722AF"/>
    <w:rsid w:val="45245292"/>
    <w:rsid w:val="452DA53D"/>
    <w:rsid w:val="452F918E"/>
    <w:rsid w:val="452FA894"/>
    <w:rsid w:val="453115DB"/>
    <w:rsid w:val="45402F49"/>
    <w:rsid w:val="4546C6C7"/>
    <w:rsid w:val="456C67B6"/>
    <w:rsid w:val="456D9DAD"/>
    <w:rsid w:val="45736D9C"/>
    <w:rsid w:val="4575C418"/>
    <w:rsid w:val="457CC641"/>
    <w:rsid w:val="457D8877"/>
    <w:rsid w:val="45819DA7"/>
    <w:rsid w:val="45865063"/>
    <w:rsid w:val="458844D4"/>
    <w:rsid w:val="458CBE3D"/>
    <w:rsid w:val="4596ED09"/>
    <w:rsid w:val="459B1C19"/>
    <w:rsid w:val="459C783E"/>
    <w:rsid w:val="45B04C29"/>
    <w:rsid w:val="45B06C63"/>
    <w:rsid w:val="45B1434E"/>
    <w:rsid w:val="45B285D3"/>
    <w:rsid w:val="45C4BE4D"/>
    <w:rsid w:val="45C8EB19"/>
    <w:rsid w:val="45CF5848"/>
    <w:rsid w:val="45D2AA7C"/>
    <w:rsid w:val="45DB322D"/>
    <w:rsid w:val="45DE33CD"/>
    <w:rsid w:val="45E0F688"/>
    <w:rsid w:val="45E13545"/>
    <w:rsid w:val="45EA21F5"/>
    <w:rsid w:val="45FC8BC4"/>
    <w:rsid w:val="45FD2CCA"/>
    <w:rsid w:val="460E34BE"/>
    <w:rsid w:val="461372E8"/>
    <w:rsid w:val="461768C1"/>
    <w:rsid w:val="461DAEE8"/>
    <w:rsid w:val="461E366F"/>
    <w:rsid w:val="462B3CD3"/>
    <w:rsid w:val="462C0821"/>
    <w:rsid w:val="462CA3C7"/>
    <w:rsid w:val="4634F067"/>
    <w:rsid w:val="4639ECCE"/>
    <w:rsid w:val="464CCB20"/>
    <w:rsid w:val="46529B4B"/>
    <w:rsid w:val="465CBF27"/>
    <w:rsid w:val="465D9DB2"/>
    <w:rsid w:val="465F4309"/>
    <w:rsid w:val="46683870"/>
    <w:rsid w:val="466CBCA7"/>
    <w:rsid w:val="466DFFDF"/>
    <w:rsid w:val="466F9A7E"/>
    <w:rsid w:val="4687FC93"/>
    <w:rsid w:val="46929C25"/>
    <w:rsid w:val="4695B07D"/>
    <w:rsid w:val="46A0FB7F"/>
    <w:rsid w:val="46A32A59"/>
    <w:rsid w:val="46A61A40"/>
    <w:rsid w:val="46AA2E45"/>
    <w:rsid w:val="46ACAEF2"/>
    <w:rsid w:val="46B97C22"/>
    <w:rsid w:val="46CA7230"/>
    <w:rsid w:val="46D19B01"/>
    <w:rsid w:val="46D7C9BA"/>
    <w:rsid w:val="46DA6B82"/>
    <w:rsid w:val="46E3AC88"/>
    <w:rsid w:val="46E7A771"/>
    <w:rsid w:val="46E7F435"/>
    <w:rsid w:val="46F0E74D"/>
    <w:rsid w:val="46F46D5F"/>
    <w:rsid w:val="46FCD29E"/>
    <w:rsid w:val="4700C18C"/>
    <w:rsid w:val="4710CAD8"/>
    <w:rsid w:val="4717AD18"/>
    <w:rsid w:val="472745FC"/>
    <w:rsid w:val="472929D9"/>
    <w:rsid w:val="472B4700"/>
    <w:rsid w:val="47321D89"/>
    <w:rsid w:val="4733A7C9"/>
    <w:rsid w:val="4734DFD3"/>
    <w:rsid w:val="473537FF"/>
    <w:rsid w:val="4738BC43"/>
    <w:rsid w:val="4738BF6C"/>
    <w:rsid w:val="4742E6F8"/>
    <w:rsid w:val="47558ABC"/>
    <w:rsid w:val="4762B712"/>
    <w:rsid w:val="47648E19"/>
    <w:rsid w:val="4765858C"/>
    <w:rsid w:val="47938133"/>
    <w:rsid w:val="4793D319"/>
    <w:rsid w:val="479A929D"/>
    <w:rsid w:val="479AAE92"/>
    <w:rsid w:val="47A329A5"/>
    <w:rsid w:val="47A341A6"/>
    <w:rsid w:val="47A51E26"/>
    <w:rsid w:val="47AA073C"/>
    <w:rsid w:val="47AE7816"/>
    <w:rsid w:val="47B40CC2"/>
    <w:rsid w:val="47B84D99"/>
    <w:rsid w:val="47B8D710"/>
    <w:rsid w:val="47BAB8DB"/>
    <w:rsid w:val="47C4DC4F"/>
    <w:rsid w:val="47C5D0AA"/>
    <w:rsid w:val="47CE3AD3"/>
    <w:rsid w:val="47D4F2B9"/>
    <w:rsid w:val="47F3F185"/>
    <w:rsid w:val="47F3F245"/>
    <w:rsid w:val="47F8D191"/>
    <w:rsid w:val="47FF9022"/>
    <w:rsid w:val="4804EBC2"/>
    <w:rsid w:val="48086BDD"/>
    <w:rsid w:val="480F0AD8"/>
    <w:rsid w:val="48123A54"/>
    <w:rsid w:val="48182086"/>
    <w:rsid w:val="481A9A9A"/>
    <w:rsid w:val="481EDA59"/>
    <w:rsid w:val="482173C7"/>
    <w:rsid w:val="4829868F"/>
    <w:rsid w:val="48374785"/>
    <w:rsid w:val="483ECB1C"/>
    <w:rsid w:val="4841650B"/>
    <w:rsid w:val="484950D9"/>
    <w:rsid w:val="48495F72"/>
    <w:rsid w:val="484CD5E0"/>
    <w:rsid w:val="485A59E7"/>
    <w:rsid w:val="485B9561"/>
    <w:rsid w:val="4860D325"/>
    <w:rsid w:val="4867A21F"/>
    <w:rsid w:val="486EBA76"/>
    <w:rsid w:val="4875A611"/>
    <w:rsid w:val="4877AFFE"/>
    <w:rsid w:val="487F6435"/>
    <w:rsid w:val="4888B33B"/>
    <w:rsid w:val="4895CF1A"/>
    <w:rsid w:val="48990055"/>
    <w:rsid w:val="48994B77"/>
    <w:rsid w:val="489B6885"/>
    <w:rsid w:val="489CABDD"/>
    <w:rsid w:val="48A29BB0"/>
    <w:rsid w:val="48A2A522"/>
    <w:rsid w:val="48A663D1"/>
    <w:rsid w:val="48AA039A"/>
    <w:rsid w:val="48B72F21"/>
    <w:rsid w:val="48BA0782"/>
    <w:rsid w:val="48C9C912"/>
    <w:rsid w:val="48CF8138"/>
    <w:rsid w:val="48ED72B5"/>
    <w:rsid w:val="48F5B07C"/>
    <w:rsid w:val="48F76169"/>
    <w:rsid w:val="48FA581C"/>
    <w:rsid w:val="48FB60A7"/>
    <w:rsid w:val="48FDF45D"/>
    <w:rsid w:val="48FE2DB9"/>
    <w:rsid w:val="491236D2"/>
    <w:rsid w:val="4914A07A"/>
    <w:rsid w:val="49377878"/>
    <w:rsid w:val="49386AFB"/>
    <w:rsid w:val="494354A2"/>
    <w:rsid w:val="4953B628"/>
    <w:rsid w:val="49652374"/>
    <w:rsid w:val="497F26CB"/>
    <w:rsid w:val="498B8CCE"/>
    <w:rsid w:val="499670E1"/>
    <w:rsid w:val="499D688E"/>
    <w:rsid w:val="499EDB8B"/>
    <w:rsid w:val="49A179D9"/>
    <w:rsid w:val="49B1937A"/>
    <w:rsid w:val="49B3AC5F"/>
    <w:rsid w:val="49B51DE8"/>
    <w:rsid w:val="49B71E1C"/>
    <w:rsid w:val="49C945BA"/>
    <w:rsid w:val="49CD5F11"/>
    <w:rsid w:val="49CF55F0"/>
    <w:rsid w:val="49D07953"/>
    <w:rsid w:val="49D0B17A"/>
    <w:rsid w:val="49D4D6B1"/>
    <w:rsid w:val="49EC4761"/>
    <w:rsid w:val="49ED5BD3"/>
    <w:rsid w:val="49F6CCFD"/>
    <w:rsid w:val="49F9ADF9"/>
    <w:rsid w:val="4A02EAC3"/>
    <w:rsid w:val="4A0EDBA3"/>
    <w:rsid w:val="4A172147"/>
    <w:rsid w:val="4A1B4966"/>
    <w:rsid w:val="4A33076D"/>
    <w:rsid w:val="4A4A136A"/>
    <w:rsid w:val="4A5243F1"/>
    <w:rsid w:val="4A552B30"/>
    <w:rsid w:val="4A554B63"/>
    <w:rsid w:val="4A5893DB"/>
    <w:rsid w:val="4A6078DE"/>
    <w:rsid w:val="4A71DCE4"/>
    <w:rsid w:val="4A74DF35"/>
    <w:rsid w:val="4A76AF41"/>
    <w:rsid w:val="4A81B4B7"/>
    <w:rsid w:val="4A8C5723"/>
    <w:rsid w:val="4A8F169B"/>
    <w:rsid w:val="4A97DC51"/>
    <w:rsid w:val="4A9BB3BF"/>
    <w:rsid w:val="4A9C216E"/>
    <w:rsid w:val="4AA5B098"/>
    <w:rsid w:val="4AB0ED20"/>
    <w:rsid w:val="4AC461DF"/>
    <w:rsid w:val="4AD13046"/>
    <w:rsid w:val="4AD4CCF2"/>
    <w:rsid w:val="4AD5E558"/>
    <w:rsid w:val="4ADBFE91"/>
    <w:rsid w:val="4AEDFEE2"/>
    <w:rsid w:val="4AEEAA9F"/>
    <w:rsid w:val="4AFC9A5F"/>
    <w:rsid w:val="4AFCB74D"/>
    <w:rsid w:val="4B03160C"/>
    <w:rsid w:val="4B24200A"/>
    <w:rsid w:val="4B270572"/>
    <w:rsid w:val="4B2CE8DC"/>
    <w:rsid w:val="4B37FF74"/>
    <w:rsid w:val="4B389ED4"/>
    <w:rsid w:val="4B563939"/>
    <w:rsid w:val="4B57D07D"/>
    <w:rsid w:val="4B5B46F3"/>
    <w:rsid w:val="4B630485"/>
    <w:rsid w:val="4B6CE204"/>
    <w:rsid w:val="4B6E9E00"/>
    <w:rsid w:val="4B70F121"/>
    <w:rsid w:val="4B75C028"/>
    <w:rsid w:val="4B79A359"/>
    <w:rsid w:val="4B940F6F"/>
    <w:rsid w:val="4BA2CD58"/>
    <w:rsid w:val="4BA2F740"/>
    <w:rsid w:val="4BA317AC"/>
    <w:rsid w:val="4BA6C5CE"/>
    <w:rsid w:val="4BAEB1F3"/>
    <w:rsid w:val="4BB9DBB0"/>
    <w:rsid w:val="4BBEC489"/>
    <w:rsid w:val="4BC3137B"/>
    <w:rsid w:val="4BCF427D"/>
    <w:rsid w:val="4BD56B9E"/>
    <w:rsid w:val="4BD8A899"/>
    <w:rsid w:val="4BDC444E"/>
    <w:rsid w:val="4BDCB205"/>
    <w:rsid w:val="4BF16E0B"/>
    <w:rsid w:val="4BFAD0F7"/>
    <w:rsid w:val="4BFB050B"/>
    <w:rsid w:val="4C0452FA"/>
    <w:rsid w:val="4C0910F3"/>
    <w:rsid w:val="4C0E4A83"/>
    <w:rsid w:val="4C0EC6E7"/>
    <w:rsid w:val="4C12C776"/>
    <w:rsid w:val="4C225302"/>
    <w:rsid w:val="4C2CBDEC"/>
    <w:rsid w:val="4C32B17B"/>
    <w:rsid w:val="4C454659"/>
    <w:rsid w:val="4C4B7940"/>
    <w:rsid w:val="4C4BE427"/>
    <w:rsid w:val="4C4D25C7"/>
    <w:rsid w:val="4C55748E"/>
    <w:rsid w:val="4C59E4CF"/>
    <w:rsid w:val="4C5C5C6D"/>
    <w:rsid w:val="4C5D5E70"/>
    <w:rsid w:val="4C649598"/>
    <w:rsid w:val="4C771874"/>
    <w:rsid w:val="4C823498"/>
    <w:rsid w:val="4C85EFD9"/>
    <w:rsid w:val="4C8A11F5"/>
    <w:rsid w:val="4C90B9F6"/>
    <w:rsid w:val="4C924472"/>
    <w:rsid w:val="4C99BAE7"/>
    <w:rsid w:val="4CA0938F"/>
    <w:rsid w:val="4CA2195A"/>
    <w:rsid w:val="4CB0F207"/>
    <w:rsid w:val="4CB40E6E"/>
    <w:rsid w:val="4CBD4CB7"/>
    <w:rsid w:val="4CCA1F73"/>
    <w:rsid w:val="4CCB8C5F"/>
    <w:rsid w:val="4CCC5018"/>
    <w:rsid w:val="4CD1E6F1"/>
    <w:rsid w:val="4CD603FA"/>
    <w:rsid w:val="4CD71BBE"/>
    <w:rsid w:val="4CDB8F57"/>
    <w:rsid w:val="4CDC7A70"/>
    <w:rsid w:val="4CE90C6C"/>
    <w:rsid w:val="4CF1592F"/>
    <w:rsid w:val="4CF16248"/>
    <w:rsid w:val="4CF23A6F"/>
    <w:rsid w:val="4D036121"/>
    <w:rsid w:val="4D0C6975"/>
    <w:rsid w:val="4D12C792"/>
    <w:rsid w:val="4D205B90"/>
    <w:rsid w:val="4D21FB42"/>
    <w:rsid w:val="4D2B2C8F"/>
    <w:rsid w:val="4D4034EA"/>
    <w:rsid w:val="4D553962"/>
    <w:rsid w:val="4D5A8FAA"/>
    <w:rsid w:val="4D5C9D58"/>
    <w:rsid w:val="4D5CDC3C"/>
    <w:rsid w:val="4D5EF074"/>
    <w:rsid w:val="4D606E8A"/>
    <w:rsid w:val="4D63BD43"/>
    <w:rsid w:val="4D6BB9EC"/>
    <w:rsid w:val="4D7D4C9E"/>
    <w:rsid w:val="4D7E19A2"/>
    <w:rsid w:val="4D831732"/>
    <w:rsid w:val="4D88116E"/>
    <w:rsid w:val="4D8E7FC8"/>
    <w:rsid w:val="4D900DED"/>
    <w:rsid w:val="4D928DF3"/>
    <w:rsid w:val="4D963876"/>
    <w:rsid w:val="4D971D5C"/>
    <w:rsid w:val="4D97FF26"/>
    <w:rsid w:val="4D986BEC"/>
    <w:rsid w:val="4D9C86B8"/>
    <w:rsid w:val="4DA71BD0"/>
    <w:rsid w:val="4DAF81EB"/>
    <w:rsid w:val="4DCB846B"/>
    <w:rsid w:val="4DD04044"/>
    <w:rsid w:val="4DD31E71"/>
    <w:rsid w:val="4DD9C446"/>
    <w:rsid w:val="4DE87F00"/>
    <w:rsid w:val="4DEE379E"/>
    <w:rsid w:val="4DF25E56"/>
    <w:rsid w:val="4DF3F510"/>
    <w:rsid w:val="4DF66593"/>
    <w:rsid w:val="4DF72FA5"/>
    <w:rsid w:val="4DFDB681"/>
    <w:rsid w:val="4E018273"/>
    <w:rsid w:val="4E04B7E6"/>
    <w:rsid w:val="4E082BA8"/>
    <w:rsid w:val="4E12CF91"/>
    <w:rsid w:val="4E1B657F"/>
    <w:rsid w:val="4E2749F1"/>
    <w:rsid w:val="4E2A306D"/>
    <w:rsid w:val="4E3C2FF2"/>
    <w:rsid w:val="4E47393D"/>
    <w:rsid w:val="4E55EA55"/>
    <w:rsid w:val="4E583293"/>
    <w:rsid w:val="4E5AFB0A"/>
    <w:rsid w:val="4E5B5668"/>
    <w:rsid w:val="4E69A179"/>
    <w:rsid w:val="4E6C0110"/>
    <w:rsid w:val="4E6FD250"/>
    <w:rsid w:val="4E7D5D5A"/>
    <w:rsid w:val="4EA08971"/>
    <w:rsid w:val="4EA97C96"/>
    <w:rsid w:val="4EA9C430"/>
    <w:rsid w:val="4EAB0222"/>
    <w:rsid w:val="4EAB4951"/>
    <w:rsid w:val="4EABEDF0"/>
    <w:rsid w:val="4EB3086F"/>
    <w:rsid w:val="4EB448C4"/>
    <w:rsid w:val="4EB4A533"/>
    <w:rsid w:val="4EB5402A"/>
    <w:rsid w:val="4EB5769E"/>
    <w:rsid w:val="4EBDD707"/>
    <w:rsid w:val="4EC49F8F"/>
    <w:rsid w:val="4ECC6B3B"/>
    <w:rsid w:val="4ECEFBFD"/>
    <w:rsid w:val="4ED7AB5D"/>
    <w:rsid w:val="4ED86053"/>
    <w:rsid w:val="4EDB6EA5"/>
    <w:rsid w:val="4EE83CAB"/>
    <w:rsid w:val="4EED01F6"/>
    <w:rsid w:val="4EF9E907"/>
    <w:rsid w:val="4F03FBBE"/>
    <w:rsid w:val="4F0468E0"/>
    <w:rsid w:val="4F295B44"/>
    <w:rsid w:val="4F316723"/>
    <w:rsid w:val="4F338E7E"/>
    <w:rsid w:val="4F3F9F48"/>
    <w:rsid w:val="4F44F709"/>
    <w:rsid w:val="4F49DBB2"/>
    <w:rsid w:val="4F4D8BBD"/>
    <w:rsid w:val="4F5575B8"/>
    <w:rsid w:val="4F60AC42"/>
    <w:rsid w:val="4F6A3D55"/>
    <w:rsid w:val="4F72153F"/>
    <w:rsid w:val="4F7575C1"/>
    <w:rsid w:val="4F764C88"/>
    <w:rsid w:val="4F791981"/>
    <w:rsid w:val="4F825D0F"/>
    <w:rsid w:val="4F85A263"/>
    <w:rsid w:val="4F8B69C9"/>
    <w:rsid w:val="4F92363A"/>
    <w:rsid w:val="4F9294B8"/>
    <w:rsid w:val="4F9693D4"/>
    <w:rsid w:val="4FA47504"/>
    <w:rsid w:val="4FAD751C"/>
    <w:rsid w:val="4FB44088"/>
    <w:rsid w:val="4FB69D28"/>
    <w:rsid w:val="4FBE94F4"/>
    <w:rsid w:val="4FC8E422"/>
    <w:rsid w:val="4FCF2EDD"/>
    <w:rsid w:val="4FD8B3B3"/>
    <w:rsid w:val="4FDFBB4E"/>
    <w:rsid w:val="4FEF4EA4"/>
    <w:rsid w:val="4FF008A2"/>
    <w:rsid w:val="4FF6A846"/>
    <w:rsid w:val="4FFE1623"/>
    <w:rsid w:val="50038EF9"/>
    <w:rsid w:val="50054BFD"/>
    <w:rsid w:val="500BF432"/>
    <w:rsid w:val="50177132"/>
    <w:rsid w:val="5024B9B9"/>
    <w:rsid w:val="50283256"/>
    <w:rsid w:val="502EB568"/>
    <w:rsid w:val="5033D891"/>
    <w:rsid w:val="50369703"/>
    <w:rsid w:val="5038C9D2"/>
    <w:rsid w:val="503C87B7"/>
    <w:rsid w:val="503FBE69"/>
    <w:rsid w:val="50405327"/>
    <w:rsid w:val="504CE5AF"/>
    <w:rsid w:val="504DDC63"/>
    <w:rsid w:val="5050778D"/>
    <w:rsid w:val="50545A4C"/>
    <w:rsid w:val="5056CA6C"/>
    <w:rsid w:val="5057522C"/>
    <w:rsid w:val="505E38F1"/>
    <w:rsid w:val="505FE207"/>
    <w:rsid w:val="506100E8"/>
    <w:rsid w:val="5062198C"/>
    <w:rsid w:val="5064BB69"/>
    <w:rsid w:val="506EB867"/>
    <w:rsid w:val="50737728"/>
    <w:rsid w:val="507944BD"/>
    <w:rsid w:val="507AEC06"/>
    <w:rsid w:val="507B043F"/>
    <w:rsid w:val="5080980B"/>
    <w:rsid w:val="5081D99B"/>
    <w:rsid w:val="50873821"/>
    <w:rsid w:val="508BA761"/>
    <w:rsid w:val="5098CA2D"/>
    <w:rsid w:val="509F9D76"/>
    <w:rsid w:val="50A1E0D7"/>
    <w:rsid w:val="50A88BC1"/>
    <w:rsid w:val="50ABBF84"/>
    <w:rsid w:val="50AD05D7"/>
    <w:rsid w:val="50BCFF9E"/>
    <w:rsid w:val="50C35B31"/>
    <w:rsid w:val="50EFA680"/>
    <w:rsid w:val="50F78001"/>
    <w:rsid w:val="50FC738D"/>
    <w:rsid w:val="5106CC88"/>
    <w:rsid w:val="510847C5"/>
    <w:rsid w:val="5112BFA9"/>
    <w:rsid w:val="511A299D"/>
    <w:rsid w:val="5124A293"/>
    <w:rsid w:val="512875AA"/>
    <w:rsid w:val="512CC010"/>
    <w:rsid w:val="513297B5"/>
    <w:rsid w:val="513EA684"/>
    <w:rsid w:val="51485ACE"/>
    <w:rsid w:val="514A588C"/>
    <w:rsid w:val="5152C3DB"/>
    <w:rsid w:val="515AEBDF"/>
    <w:rsid w:val="51736705"/>
    <w:rsid w:val="51755E38"/>
    <w:rsid w:val="51764E26"/>
    <w:rsid w:val="51785550"/>
    <w:rsid w:val="518726D3"/>
    <w:rsid w:val="51969533"/>
    <w:rsid w:val="519EB0BC"/>
    <w:rsid w:val="51ACD793"/>
    <w:rsid w:val="51B5AAE4"/>
    <w:rsid w:val="51BAA9A0"/>
    <w:rsid w:val="51C940E7"/>
    <w:rsid w:val="51CB6B1B"/>
    <w:rsid w:val="51D663CB"/>
    <w:rsid w:val="51D77B4A"/>
    <w:rsid w:val="51DE8225"/>
    <w:rsid w:val="51EB993E"/>
    <w:rsid w:val="52063E84"/>
    <w:rsid w:val="52074353"/>
    <w:rsid w:val="520A32E0"/>
    <w:rsid w:val="52182D3B"/>
    <w:rsid w:val="52198DD7"/>
    <w:rsid w:val="5222706F"/>
    <w:rsid w:val="52227598"/>
    <w:rsid w:val="52237FCA"/>
    <w:rsid w:val="524A3948"/>
    <w:rsid w:val="524D4D10"/>
    <w:rsid w:val="5253985A"/>
    <w:rsid w:val="525740E8"/>
    <w:rsid w:val="528098B6"/>
    <w:rsid w:val="5288DEC3"/>
    <w:rsid w:val="528B5A42"/>
    <w:rsid w:val="5295BC8B"/>
    <w:rsid w:val="529D6F52"/>
    <w:rsid w:val="52A6BBB6"/>
    <w:rsid w:val="52A85FF2"/>
    <w:rsid w:val="52B2ADEE"/>
    <w:rsid w:val="52B30CEC"/>
    <w:rsid w:val="52B43831"/>
    <w:rsid w:val="52B631EC"/>
    <w:rsid w:val="52C7173D"/>
    <w:rsid w:val="52C74BDA"/>
    <w:rsid w:val="52D63EAE"/>
    <w:rsid w:val="52D70DD8"/>
    <w:rsid w:val="52E36379"/>
    <w:rsid w:val="52E9D4E8"/>
    <w:rsid w:val="52F04E52"/>
    <w:rsid w:val="5302023E"/>
    <w:rsid w:val="5302D66A"/>
    <w:rsid w:val="5303739C"/>
    <w:rsid w:val="530CA177"/>
    <w:rsid w:val="530E30A8"/>
    <w:rsid w:val="530E3D43"/>
    <w:rsid w:val="530FF470"/>
    <w:rsid w:val="530FFD03"/>
    <w:rsid w:val="531513ED"/>
    <w:rsid w:val="531F2514"/>
    <w:rsid w:val="531FBEDB"/>
    <w:rsid w:val="532021A3"/>
    <w:rsid w:val="53227A86"/>
    <w:rsid w:val="5332B8D3"/>
    <w:rsid w:val="5335C0B9"/>
    <w:rsid w:val="533C272F"/>
    <w:rsid w:val="533DB05E"/>
    <w:rsid w:val="53471224"/>
    <w:rsid w:val="5347EB57"/>
    <w:rsid w:val="534E489D"/>
    <w:rsid w:val="535087CC"/>
    <w:rsid w:val="53538643"/>
    <w:rsid w:val="535922DD"/>
    <w:rsid w:val="53629488"/>
    <w:rsid w:val="5365F2D6"/>
    <w:rsid w:val="536A5684"/>
    <w:rsid w:val="537F4704"/>
    <w:rsid w:val="5382C7DE"/>
    <w:rsid w:val="5386CC03"/>
    <w:rsid w:val="538C1557"/>
    <w:rsid w:val="539A80C5"/>
    <w:rsid w:val="53A64339"/>
    <w:rsid w:val="53AD6676"/>
    <w:rsid w:val="53AE8FF5"/>
    <w:rsid w:val="53B8C8CC"/>
    <w:rsid w:val="53BD03B1"/>
    <w:rsid w:val="53BD6E7C"/>
    <w:rsid w:val="53C5863F"/>
    <w:rsid w:val="53CAA554"/>
    <w:rsid w:val="53DEA419"/>
    <w:rsid w:val="53E5945B"/>
    <w:rsid w:val="53E63625"/>
    <w:rsid w:val="53EEBDFB"/>
    <w:rsid w:val="53EFF881"/>
    <w:rsid w:val="53F5351C"/>
    <w:rsid w:val="53F94744"/>
    <w:rsid w:val="53FDBE60"/>
    <w:rsid w:val="540D19AA"/>
    <w:rsid w:val="540E0BAF"/>
    <w:rsid w:val="540F700B"/>
    <w:rsid w:val="54119DF3"/>
    <w:rsid w:val="54126EFB"/>
    <w:rsid w:val="543584A4"/>
    <w:rsid w:val="543F103E"/>
    <w:rsid w:val="5446B32A"/>
    <w:rsid w:val="54647958"/>
    <w:rsid w:val="5468242B"/>
    <w:rsid w:val="546991F1"/>
    <w:rsid w:val="546A9411"/>
    <w:rsid w:val="5479A347"/>
    <w:rsid w:val="5484C27A"/>
    <w:rsid w:val="5491FC9F"/>
    <w:rsid w:val="54962882"/>
    <w:rsid w:val="5497B6C6"/>
    <w:rsid w:val="549FBD67"/>
    <w:rsid w:val="54B0B64C"/>
    <w:rsid w:val="54B1D314"/>
    <w:rsid w:val="54BCD15E"/>
    <w:rsid w:val="54BE089A"/>
    <w:rsid w:val="54E1B2D6"/>
    <w:rsid w:val="54E948F9"/>
    <w:rsid w:val="54EC3E83"/>
    <w:rsid w:val="54ECE357"/>
    <w:rsid w:val="54FDE6B9"/>
    <w:rsid w:val="5506D040"/>
    <w:rsid w:val="550CA70F"/>
    <w:rsid w:val="550E28E0"/>
    <w:rsid w:val="55177ADC"/>
    <w:rsid w:val="55196639"/>
    <w:rsid w:val="551F5A4B"/>
    <w:rsid w:val="55278E23"/>
    <w:rsid w:val="55305FB0"/>
    <w:rsid w:val="55324B3B"/>
    <w:rsid w:val="553A50DD"/>
    <w:rsid w:val="553ECECF"/>
    <w:rsid w:val="55544D08"/>
    <w:rsid w:val="55599259"/>
    <w:rsid w:val="555B7A9C"/>
    <w:rsid w:val="555C2D27"/>
    <w:rsid w:val="555FBE21"/>
    <w:rsid w:val="55625722"/>
    <w:rsid w:val="55648112"/>
    <w:rsid w:val="5568F269"/>
    <w:rsid w:val="55782F6C"/>
    <w:rsid w:val="5579ECC7"/>
    <w:rsid w:val="5582EDD0"/>
    <w:rsid w:val="558325AC"/>
    <w:rsid w:val="558B90D2"/>
    <w:rsid w:val="558BAA66"/>
    <w:rsid w:val="559B990E"/>
    <w:rsid w:val="55A4D207"/>
    <w:rsid w:val="55A95FFD"/>
    <w:rsid w:val="55ADAC7B"/>
    <w:rsid w:val="55C6C27C"/>
    <w:rsid w:val="55C7089B"/>
    <w:rsid w:val="55C73F8A"/>
    <w:rsid w:val="55CE79CA"/>
    <w:rsid w:val="55CE8472"/>
    <w:rsid w:val="55CF4A0F"/>
    <w:rsid w:val="55DB5BA2"/>
    <w:rsid w:val="55DF77A2"/>
    <w:rsid w:val="55E14907"/>
    <w:rsid w:val="55E36515"/>
    <w:rsid w:val="55E9A7E2"/>
    <w:rsid w:val="5618B2E0"/>
    <w:rsid w:val="56192AF6"/>
    <w:rsid w:val="56253658"/>
    <w:rsid w:val="56301B2D"/>
    <w:rsid w:val="56397103"/>
    <w:rsid w:val="563DC72A"/>
    <w:rsid w:val="564045D7"/>
    <w:rsid w:val="564B6912"/>
    <w:rsid w:val="565EDDE1"/>
    <w:rsid w:val="566180F6"/>
    <w:rsid w:val="5663CA46"/>
    <w:rsid w:val="567A7305"/>
    <w:rsid w:val="567BDF70"/>
    <w:rsid w:val="56853750"/>
    <w:rsid w:val="568C6E0A"/>
    <w:rsid w:val="56A96EB4"/>
    <w:rsid w:val="56AF6635"/>
    <w:rsid w:val="56B4ECCD"/>
    <w:rsid w:val="56B50154"/>
    <w:rsid w:val="56CD8A81"/>
    <w:rsid w:val="56D558F2"/>
    <w:rsid w:val="56D98489"/>
    <w:rsid w:val="56DE5605"/>
    <w:rsid w:val="56E96F9C"/>
    <w:rsid w:val="56F90DB5"/>
    <w:rsid w:val="56F973D5"/>
    <w:rsid w:val="56FA282C"/>
    <w:rsid w:val="56FEDC3D"/>
    <w:rsid w:val="5702B2F5"/>
    <w:rsid w:val="5705919E"/>
    <w:rsid w:val="570C30FA"/>
    <w:rsid w:val="57111EDB"/>
    <w:rsid w:val="571384E0"/>
    <w:rsid w:val="5714C57F"/>
    <w:rsid w:val="5716300F"/>
    <w:rsid w:val="571AAB6B"/>
    <w:rsid w:val="572505BF"/>
    <w:rsid w:val="5732994A"/>
    <w:rsid w:val="5733C460"/>
    <w:rsid w:val="57388EA7"/>
    <w:rsid w:val="573DD73A"/>
    <w:rsid w:val="574B9E10"/>
    <w:rsid w:val="574C58D7"/>
    <w:rsid w:val="5752C49D"/>
    <w:rsid w:val="575BDF6B"/>
    <w:rsid w:val="5767EDBA"/>
    <w:rsid w:val="57759D37"/>
    <w:rsid w:val="577636A9"/>
    <w:rsid w:val="57785E50"/>
    <w:rsid w:val="57809EBC"/>
    <w:rsid w:val="57910B82"/>
    <w:rsid w:val="5796CA86"/>
    <w:rsid w:val="579B4EFC"/>
    <w:rsid w:val="579C3FE5"/>
    <w:rsid w:val="57A0EF1C"/>
    <w:rsid w:val="57A42C66"/>
    <w:rsid w:val="57AA472F"/>
    <w:rsid w:val="57AED731"/>
    <w:rsid w:val="57B1EC89"/>
    <w:rsid w:val="57BA24AD"/>
    <w:rsid w:val="57C41DF1"/>
    <w:rsid w:val="57CBCCBC"/>
    <w:rsid w:val="57D722DD"/>
    <w:rsid w:val="57D8C839"/>
    <w:rsid w:val="57DFA63D"/>
    <w:rsid w:val="57E8384A"/>
    <w:rsid w:val="57E9EDF9"/>
    <w:rsid w:val="57EA1AD1"/>
    <w:rsid w:val="57EA6404"/>
    <w:rsid w:val="57EC011D"/>
    <w:rsid w:val="57F5434D"/>
    <w:rsid w:val="57F808DE"/>
    <w:rsid w:val="57FE699C"/>
    <w:rsid w:val="58056E2D"/>
    <w:rsid w:val="580AD702"/>
    <w:rsid w:val="580B9559"/>
    <w:rsid w:val="5814E95C"/>
    <w:rsid w:val="5828AA9C"/>
    <w:rsid w:val="5832C231"/>
    <w:rsid w:val="583586CE"/>
    <w:rsid w:val="5836EAD0"/>
    <w:rsid w:val="58375527"/>
    <w:rsid w:val="583C322C"/>
    <w:rsid w:val="583DD762"/>
    <w:rsid w:val="584053FB"/>
    <w:rsid w:val="58415D85"/>
    <w:rsid w:val="5850C698"/>
    <w:rsid w:val="58540314"/>
    <w:rsid w:val="58555C5D"/>
    <w:rsid w:val="5864BC1E"/>
    <w:rsid w:val="58657EAA"/>
    <w:rsid w:val="5874E233"/>
    <w:rsid w:val="5882173D"/>
    <w:rsid w:val="58821E03"/>
    <w:rsid w:val="58873D83"/>
    <w:rsid w:val="5889756D"/>
    <w:rsid w:val="588DD832"/>
    <w:rsid w:val="588F18E1"/>
    <w:rsid w:val="58988CDA"/>
    <w:rsid w:val="589CD480"/>
    <w:rsid w:val="589CE048"/>
    <w:rsid w:val="58AD5814"/>
    <w:rsid w:val="58AEEE3F"/>
    <w:rsid w:val="58B0E593"/>
    <w:rsid w:val="58B3B2FB"/>
    <w:rsid w:val="58B6DF27"/>
    <w:rsid w:val="58B8E1ED"/>
    <w:rsid w:val="58BFE3C1"/>
    <w:rsid w:val="58C90051"/>
    <w:rsid w:val="58C98E9A"/>
    <w:rsid w:val="58CB8E7B"/>
    <w:rsid w:val="58CC4EE1"/>
    <w:rsid w:val="58DCC45B"/>
    <w:rsid w:val="58E6C147"/>
    <w:rsid w:val="58FF2482"/>
    <w:rsid w:val="59057496"/>
    <w:rsid w:val="59076373"/>
    <w:rsid w:val="59187176"/>
    <w:rsid w:val="591C4A14"/>
    <w:rsid w:val="5920BE10"/>
    <w:rsid w:val="592128C6"/>
    <w:rsid w:val="59322187"/>
    <w:rsid w:val="5933103A"/>
    <w:rsid w:val="59368BB6"/>
    <w:rsid w:val="593C9B7E"/>
    <w:rsid w:val="594306FC"/>
    <w:rsid w:val="594841D2"/>
    <w:rsid w:val="5950ADFA"/>
    <w:rsid w:val="5959EDD2"/>
    <w:rsid w:val="59727DAF"/>
    <w:rsid w:val="5983BED9"/>
    <w:rsid w:val="59878CEA"/>
    <w:rsid w:val="598BCE53"/>
    <w:rsid w:val="599798AB"/>
    <w:rsid w:val="599908FC"/>
    <w:rsid w:val="599C0106"/>
    <w:rsid w:val="599DC058"/>
    <w:rsid w:val="59A47884"/>
    <w:rsid w:val="59AEC5C8"/>
    <w:rsid w:val="59B4F51B"/>
    <w:rsid w:val="59B811B5"/>
    <w:rsid w:val="59CB05F8"/>
    <w:rsid w:val="59D93C3F"/>
    <w:rsid w:val="59DBDA38"/>
    <w:rsid w:val="59DDC848"/>
    <w:rsid w:val="59F42786"/>
    <w:rsid w:val="59F483E0"/>
    <w:rsid w:val="59F6F330"/>
    <w:rsid w:val="59FA036E"/>
    <w:rsid w:val="5A04E105"/>
    <w:rsid w:val="5A076A8A"/>
    <w:rsid w:val="5A0AB044"/>
    <w:rsid w:val="5A0B14C5"/>
    <w:rsid w:val="5A1123CD"/>
    <w:rsid w:val="5A1A8517"/>
    <w:rsid w:val="5A269FD9"/>
    <w:rsid w:val="5A367F7E"/>
    <w:rsid w:val="5A3C14E8"/>
    <w:rsid w:val="5A4207BF"/>
    <w:rsid w:val="5A44ED85"/>
    <w:rsid w:val="5A47EA4B"/>
    <w:rsid w:val="5A48F08E"/>
    <w:rsid w:val="5A4D7AAD"/>
    <w:rsid w:val="5A55F349"/>
    <w:rsid w:val="5A5620AE"/>
    <w:rsid w:val="5A5F0ECE"/>
    <w:rsid w:val="5A667813"/>
    <w:rsid w:val="5A7C6FB1"/>
    <w:rsid w:val="5A81F88E"/>
    <w:rsid w:val="5A8D9B8A"/>
    <w:rsid w:val="5A90B1F6"/>
    <w:rsid w:val="5A91A495"/>
    <w:rsid w:val="5A9DF590"/>
    <w:rsid w:val="5A9F37B4"/>
    <w:rsid w:val="5AA7A42E"/>
    <w:rsid w:val="5AA91A37"/>
    <w:rsid w:val="5AADE88D"/>
    <w:rsid w:val="5AAE252E"/>
    <w:rsid w:val="5AAEC7D3"/>
    <w:rsid w:val="5AB11F15"/>
    <w:rsid w:val="5AB4FCB9"/>
    <w:rsid w:val="5ACC0865"/>
    <w:rsid w:val="5AD16DDB"/>
    <w:rsid w:val="5AD8015B"/>
    <w:rsid w:val="5ADC3056"/>
    <w:rsid w:val="5AEAD6BB"/>
    <w:rsid w:val="5AEEEB47"/>
    <w:rsid w:val="5AF09F67"/>
    <w:rsid w:val="5AF353E6"/>
    <w:rsid w:val="5AFB6464"/>
    <w:rsid w:val="5AFFB322"/>
    <w:rsid w:val="5B0F5688"/>
    <w:rsid w:val="5B107C58"/>
    <w:rsid w:val="5B135602"/>
    <w:rsid w:val="5B1541FC"/>
    <w:rsid w:val="5B269B52"/>
    <w:rsid w:val="5B37699C"/>
    <w:rsid w:val="5B3A5E14"/>
    <w:rsid w:val="5B3CB997"/>
    <w:rsid w:val="5B495E5A"/>
    <w:rsid w:val="5B4D5B1E"/>
    <w:rsid w:val="5B4F5923"/>
    <w:rsid w:val="5B50A02B"/>
    <w:rsid w:val="5B561956"/>
    <w:rsid w:val="5B59820A"/>
    <w:rsid w:val="5B5E613C"/>
    <w:rsid w:val="5B5F1108"/>
    <w:rsid w:val="5B6049C1"/>
    <w:rsid w:val="5B6675CC"/>
    <w:rsid w:val="5B6802B4"/>
    <w:rsid w:val="5B6B7861"/>
    <w:rsid w:val="5B97B4A9"/>
    <w:rsid w:val="5BA07DAB"/>
    <w:rsid w:val="5BA6DCCF"/>
    <w:rsid w:val="5BAA655D"/>
    <w:rsid w:val="5BAEC7EA"/>
    <w:rsid w:val="5BB66119"/>
    <w:rsid w:val="5BC53B23"/>
    <w:rsid w:val="5BCA27D2"/>
    <w:rsid w:val="5BD9EC2B"/>
    <w:rsid w:val="5BDCA9FD"/>
    <w:rsid w:val="5BE38031"/>
    <w:rsid w:val="5BE43613"/>
    <w:rsid w:val="5BE49B5B"/>
    <w:rsid w:val="5BE94E51"/>
    <w:rsid w:val="5BEDA070"/>
    <w:rsid w:val="5BF4B7E3"/>
    <w:rsid w:val="5C044D35"/>
    <w:rsid w:val="5C05A5A3"/>
    <w:rsid w:val="5C093251"/>
    <w:rsid w:val="5C20CC52"/>
    <w:rsid w:val="5C227116"/>
    <w:rsid w:val="5C309658"/>
    <w:rsid w:val="5C4DAC3E"/>
    <w:rsid w:val="5C4EE17F"/>
    <w:rsid w:val="5C557EDA"/>
    <w:rsid w:val="5C5AF8D5"/>
    <w:rsid w:val="5C5BF284"/>
    <w:rsid w:val="5C5FDA65"/>
    <w:rsid w:val="5C5FFA57"/>
    <w:rsid w:val="5C6995DF"/>
    <w:rsid w:val="5C70B143"/>
    <w:rsid w:val="5C71E4D9"/>
    <w:rsid w:val="5C731E59"/>
    <w:rsid w:val="5C7B9E29"/>
    <w:rsid w:val="5C89DE6D"/>
    <w:rsid w:val="5C8B262C"/>
    <w:rsid w:val="5C8C7945"/>
    <w:rsid w:val="5C8F7687"/>
    <w:rsid w:val="5C92A853"/>
    <w:rsid w:val="5C95ADDE"/>
    <w:rsid w:val="5C9FF409"/>
    <w:rsid w:val="5CA3F320"/>
    <w:rsid w:val="5CA4607C"/>
    <w:rsid w:val="5CB747C6"/>
    <w:rsid w:val="5CBB83D9"/>
    <w:rsid w:val="5CBF7574"/>
    <w:rsid w:val="5CC1D495"/>
    <w:rsid w:val="5CC39161"/>
    <w:rsid w:val="5CCA0BED"/>
    <w:rsid w:val="5CD7A802"/>
    <w:rsid w:val="5CDAF744"/>
    <w:rsid w:val="5CE2191E"/>
    <w:rsid w:val="5CEC95DD"/>
    <w:rsid w:val="5CEE1DE1"/>
    <w:rsid w:val="5CF5B937"/>
    <w:rsid w:val="5CF5EA66"/>
    <w:rsid w:val="5CFE1773"/>
    <w:rsid w:val="5D08F7E1"/>
    <w:rsid w:val="5D10668C"/>
    <w:rsid w:val="5D12A313"/>
    <w:rsid w:val="5D1C7677"/>
    <w:rsid w:val="5D1EE590"/>
    <w:rsid w:val="5D29F899"/>
    <w:rsid w:val="5D2B32DD"/>
    <w:rsid w:val="5D4040C6"/>
    <w:rsid w:val="5D408650"/>
    <w:rsid w:val="5D412879"/>
    <w:rsid w:val="5D416C01"/>
    <w:rsid w:val="5D424ECE"/>
    <w:rsid w:val="5D4F551D"/>
    <w:rsid w:val="5D6A2DBB"/>
    <w:rsid w:val="5D735B92"/>
    <w:rsid w:val="5D789228"/>
    <w:rsid w:val="5D7D19D5"/>
    <w:rsid w:val="5D7E378D"/>
    <w:rsid w:val="5D80CE0A"/>
    <w:rsid w:val="5D82244D"/>
    <w:rsid w:val="5D82C6B8"/>
    <w:rsid w:val="5D8C8765"/>
    <w:rsid w:val="5D911D4A"/>
    <w:rsid w:val="5D9608CD"/>
    <w:rsid w:val="5D97CE68"/>
    <w:rsid w:val="5D9E59C2"/>
    <w:rsid w:val="5DA10103"/>
    <w:rsid w:val="5DB13BA9"/>
    <w:rsid w:val="5DBEBD48"/>
    <w:rsid w:val="5DDC1BAE"/>
    <w:rsid w:val="5DDF660A"/>
    <w:rsid w:val="5DEF16FE"/>
    <w:rsid w:val="5DF22DAB"/>
    <w:rsid w:val="5DF69ACA"/>
    <w:rsid w:val="5DF82081"/>
    <w:rsid w:val="5DFA35CD"/>
    <w:rsid w:val="5E00B3AD"/>
    <w:rsid w:val="5E0B9AF6"/>
    <w:rsid w:val="5E18DAE8"/>
    <w:rsid w:val="5E1DC6EC"/>
    <w:rsid w:val="5E22E2EF"/>
    <w:rsid w:val="5E2D8C44"/>
    <w:rsid w:val="5E2E562D"/>
    <w:rsid w:val="5E353EDA"/>
    <w:rsid w:val="5E40CE81"/>
    <w:rsid w:val="5E44362E"/>
    <w:rsid w:val="5E44CB93"/>
    <w:rsid w:val="5E493778"/>
    <w:rsid w:val="5E4DCF47"/>
    <w:rsid w:val="5E537C8E"/>
    <w:rsid w:val="5E59652B"/>
    <w:rsid w:val="5E6FAA42"/>
    <w:rsid w:val="5E75A0A9"/>
    <w:rsid w:val="5E78D9B6"/>
    <w:rsid w:val="5E8D61CF"/>
    <w:rsid w:val="5E9EEEC6"/>
    <w:rsid w:val="5EA0ECA3"/>
    <w:rsid w:val="5EA129CC"/>
    <w:rsid w:val="5EA407E0"/>
    <w:rsid w:val="5EA867A9"/>
    <w:rsid w:val="5EAD5C8F"/>
    <w:rsid w:val="5ED1A95C"/>
    <w:rsid w:val="5ED2E140"/>
    <w:rsid w:val="5ED4605F"/>
    <w:rsid w:val="5EF06246"/>
    <w:rsid w:val="5EF5D68B"/>
    <w:rsid w:val="5EF86F15"/>
    <w:rsid w:val="5EFA8DF2"/>
    <w:rsid w:val="5EFD38A0"/>
    <w:rsid w:val="5EFE758A"/>
    <w:rsid w:val="5F042CF3"/>
    <w:rsid w:val="5F154FAA"/>
    <w:rsid w:val="5F17E5AB"/>
    <w:rsid w:val="5F240B17"/>
    <w:rsid w:val="5F3A0EE3"/>
    <w:rsid w:val="5F3FDB68"/>
    <w:rsid w:val="5F44206D"/>
    <w:rsid w:val="5F4A10C4"/>
    <w:rsid w:val="5F54AA9A"/>
    <w:rsid w:val="5F5A19D0"/>
    <w:rsid w:val="5F616A07"/>
    <w:rsid w:val="5F632A18"/>
    <w:rsid w:val="5F6C726B"/>
    <w:rsid w:val="5F70C7ED"/>
    <w:rsid w:val="5F727FDA"/>
    <w:rsid w:val="5F7DE6DC"/>
    <w:rsid w:val="5F8EEC4D"/>
    <w:rsid w:val="5F98BCA9"/>
    <w:rsid w:val="5FA32C49"/>
    <w:rsid w:val="5FABBC80"/>
    <w:rsid w:val="5FB526E2"/>
    <w:rsid w:val="5FC53E57"/>
    <w:rsid w:val="5FCAB3B3"/>
    <w:rsid w:val="5FCE2ED1"/>
    <w:rsid w:val="5FDEEAC3"/>
    <w:rsid w:val="5FDF421A"/>
    <w:rsid w:val="5FE22044"/>
    <w:rsid w:val="5FEB0D7E"/>
    <w:rsid w:val="5FEC9A26"/>
    <w:rsid w:val="5FEF19F8"/>
    <w:rsid w:val="5FFF4ACB"/>
    <w:rsid w:val="6000E680"/>
    <w:rsid w:val="600EAE83"/>
    <w:rsid w:val="6011169F"/>
    <w:rsid w:val="60159933"/>
    <w:rsid w:val="60166443"/>
    <w:rsid w:val="601DBA37"/>
    <w:rsid w:val="601EEDFD"/>
    <w:rsid w:val="60203F97"/>
    <w:rsid w:val="60232157"/>
    <w:rsid w:val="6023D0FD"/>
    <w:rsid w:val="6035B141"/>
    <w:rsid w:val="603844B7"/>
    <w:rsid w:val="603A0811"/>
    <w:rsid w:val="6043698D"/>
    <w:rsid w:val="604B74DF"/>
    <w:rsid w:val="60653C3A"/>
    <w:rsid w:val="60688F15"/>
    <w:rsid w:val="606D1157"/>
    <w:rsid w:val="60756A00"/>
    <w:rsid w:val="6076BC66"/>
    <w:rsid w:val="6084643B"/>
    <w:rsid w:val="6084C641"/>
    <w:rsid w:val="60884503"/>
    <w:rsid w:val="608B0A6A"/>
    <w:rsid w:val="609524D8"/>
    <w:rsid w:val="609A9FAF"/>
    <w:rsid w:val="60A41263"/>
    <w:rsid w:val="60A627B1"/>
    <w:rsid w:val="60AFC916"/>
    <w:rsid w:val="60B10653"/>
    <w:rsid w:val="60B632F2"/>
    <w:rsid w:val="60BCB6BA"/>
    <w:rsid w:val="60C45D51"/>
    <w:rsid w:val="60CF0694"/>
    <w:rsid w:val="60D2FEB0"/>
    <w:rsid w:val="60D50186"/>
    <w:rsid w:val="60D7AF8A"/>
    <w:rsid w:val="60E1DD08"/>
    <w:rsid w:val="60E74F18"/>
    <w:rsid w:val="60EEED86"/>
    <w:rsid w:val="60F30BE1"/>
    <w:rsid w:val="60F3E5D7"/>
    <w:rsid w:val="60F54C6E"/>
    <w:rsid w:val="60F8733C"/>
    <w:rsid w:val="60FEC7E6"/>
    <w:rsid w:val="61024273"/>
    <w:rsid w:val="610E978D"/>
    <w:rsid w:val="6114DEDC"/>
    <w:rsid w:val="6130E994"/>
    <w:rsid w:val="613C911A"/>
    <w:rsid w:val="61425679"/>
    <w:rsid w:val="6147A287"/>
    <w:rsid w:val="614A5D77"/>
    <w:rsid w:val="6154912C"/>
    <w:rsid w:val="6159D3B7"/>
    <w:rsid w:val="615FB1E3"/>
    <w:rsid w:val="616A812C"/>
    <w:rsid w:val="616C8817"/>
    <w:rsid w:val="616E96C4"/>
    <w:rsid w:val="6172B34C"/>
    <w:rsid w:val="61733955"/>
    <w:rsid w:val="6178B97D"/>
    <w:rsid w:val="61893B34"/>
    <w:rsid w:val="6193259F"/>
    <w:rsid w:val="61950C94"/>
    <w:rsid w:val="6199B6EA"/>
    <w:rsid w:val="619E9393"/>
    <w:rsid w:val="61A0967D"/>
    <w:rsid w:val="61A6DEA3"/>
    <w:rsid w:val="61A8D533"/>
    <w:rsid w:val="61B1FA38"/>
    <w:rsid w:val="61B29557"/>
    <w:rsid w:val="61B9EC5F"/>
    <w:rsid w:val="61BDEE33"/>
    <w:rsid w:val="61BFEA94"/>
    <w:rsid w:val="61C047A7"/>
    <w:rsid w:val="61CA8524"/>
    <w:rsid w:val="61CC7A3A"/>
    <w:rsid w:val="61D6EF59"/>
    <w:rsid w:val="61E95AD5"/>
    <w:rsid w:val="61FA0469"/>
    <w:rsid w:val="61FD778A"/>
    <w:rsid w:val="62009C5D"/>
    <w:rsid w:val="62076E45"/>
    <w:rsid w:val="620EFEA7"/>
    <w:rsid w:val="621552F4"/>
    <w:rsid w:val="6219DD63"/>
    <w:rsid w:val="621D74A3"/>
    <w:rsid w:val="622DA60E"/>
    <w:rsid w:val="6231E443"/>
    <w:rsid w:val="623ADD92"/>
    <w:rsid w:val="62552100"/>
    <w:rsid w:val="6258619B"/>
    <w:rsid w:val="625CE1F4"/>
    <w:rsid w:val="62661782"/>
    <w:rsid w:val="626D6D50"/>
    <w:rsid w:val="626E0A3C"/>
    <w:rsid w:val="626E3FC3"/>
    <w:rsid w:val="626FBAA9"/>
    <w:rsid w:val="627D3B7C"/>
    <w:rsid w:val="62807828"/>
    <w:rsid w:val="6286A468"/>
    <w:rsid w:val="629855D8"/>
    <w:rsid w:val="629AE5D1"/>
    <w:rsid w:val="629E1F9B"/>
    <w:rsid w:val="62A49189"/>
    <w:rsid w:val="62B8BD0A"/>
    <w:rsid w:val="62C7AFB3"/>
    <w:rsid w:val="62CDCA46"/>
    <w:rsid w:val="62E26003"/>
    <w:rsid w:val="62EB2D11"/>
    <w:rsid w:val="62F2044E"/>
    <w:rsid w:val="62F4690C"/>
    <w:rsid w:val="62F4ED0B"/>
    <w:rsid w:val="62FE5F35"/>
    <w:rsid w:val="6307A607"/>
    <w:rsid w:val="63116724"/>
    <w:rsid w:val="631B81CE"/>
    <w:rsid w:val="631BEE3A"/>
    <w:rsid w:val="6320A75F"/>
    <w:rsid w:val="6326D054"/>
    <w:rsid w:val="6330F90C"/>
    <w:rsid w:val="6331A3EF"/>
    <w:rsid w:val="633DEF57"/>
    <w:rsid w:val="63490D0B"/>
    <w:rsid w:val="6349B523"/>
    <w:rsid w:val="6363BC0F"/>
    <w:rsid w:val="636DFE55"/>
    <w:rsid w:val="6374A436"/>
    <w:rsid w:val="6375B5D9"/>
    <w:rsid w:val="637C139E"/>
    <w:rsid w:val="6393A446"/>
    <w:rsid w:val="63AB5529"/>
    <w:rsid w:val="63ADD14C"/>
    <w:rsid w:val="63AFBBCF"/>
    <w:rsid w:val="63B1349E"/>
    <w:rsid w:val="63B85783"/>
    <w:rsid w:val="63BE3A78"/>
    <w:rsid w:val="63CD68E5"/>
    <w:rsid w:val="63D30073"/>
    <w:rsid w:val="63D84CF3"/>
    <w:rsid w:val="63DEC0E3"/>
    <w:rsid w:val="63DF90C7"/>
    <w:rsid w:val="63E142CB"/>
    <w:rsid w:val="63EC0CD6"/>
    <w:rsid w:val="63EF812A"/>
    <w:rsid w:val="63F2A9F8"/>
    <w:rsid w:val="63FEEEA3"/>
    <w:rsid w:val="640A9E30"/>
    <w:rsid w:val="640F770D"/>
    <w:rsid w:val="6410D3F4"/>
    <w:rsid w:val="64163B42"/>
    <w:rsid w:val="64198366"/>
    <w:rsid w:val="641DE73A"/>
    <w:rsid w:val="642188EA"/>
    <w:rsid w:val="64263F8D"/>
    <w:rsid w:val="642B24F3"/>
    <w:rsid w:val="642D2743"/>
    <w:rsid w:val="642D8852"/>
    <w:rsid w:val="642F3153"/>
    <w:rsid w:val="6434BE15"/>
    <w:rsid w:val="643D0F89"/>
    <w:rsid w:val="643E9153"/>
    <w:rsid w:val="64434BA3"/>
    <w:rsid w:val="64517142"/>
    <w:rsid w:val="645D6CC7"/>
    <w:rsid w:val="645EAD49"/>
    <w:rsid w:val="6461FE46"/>
    <w:rsid w:val="6469FD8B"/>
    <w:rsid w:val="646CCD20"/>
    <w:rsid w:val="64727E9B"/>
    <w:rsid w:val="647C7370"/>
    <w:rsid w:val="64843F77"/>
    <w:rsid w:val="648D6D0B"/>
    <w:rsid w:val="64957551"/>
    <w:rsid w:val="64A3BFB6"/>
    <w:rsid w:val="64B23455"/>
    <w:rsid w:val="64D0CB13"/>
    <w:rsid w:val="64D82B3F"/>
    <w:rsid w:val="64D8534F"/>
    <w:rsid w:val="64DA84D4"/>
    <w:rsid w:val="64DD2C02"/>
    <w:rsid w:val="64DE2FA1"/>
    <w:rsid w:val="64E6D9F0"/>
    <w:rsid w:val="64FAA014"/>
    <w:rsid w:val="64FC0DFF"/>
    <w:rsid w:val="6504A845"/>
    <w:rsid w:val="6504C511"/>
    <w:rsid w:val="650A38C7"/>
    <w:rsid w:val="6519999B"/>
    <w:rsid w:val="653F60C1"/>
    <w:rsid w:val="6551E7B7"/>
    <w:rsid w:val="656DB808"/>
    <w:rsid w:val="65885FCF"/>
    <w:rsid w:val="65930F9C"/>
    <w:rsid w:val="65A0C41F"/>
    <w:rsid w:val="65BE96DF"/>
    <w:rsid w:val="65C4CC73"/>
    <w:rsid w:val="65C888EC"/>
    <w:rsid w:val="65D13BD1"/>
    <w:rsid w:val="65D1ECCA"/>
    <w:rsid w:val="65DA3BA7"/>
    <w:rsid w:val="65E88DEE"/>
    <w:rsid w:val="65F5F292"/>
    <w:rsid w:val="6608833A"/>
    <w:rsid w:val="660D28DB"/>
    <w:rsid w:val="6614E401"/>
    <w:rsid w:val="662B70F5"/>
    <w:rsid w:val="6639F537"/>
    <w:rsid w:val="664117EF"/>
    <w:rsid w:val="665AB502"/>
    <w:rsid w:val="665E7354"/>
    <w:rsid w:val="66643568"/>
    <w:rsid w:val="666B778F"/>
    <w:rsid w:val="666E89CE"/>
    <w:rsid w:val="6678F446"/>
    <w:rsid w:val="667A69C5"/>
    <w:rsid w:val="667BF3F9"/>
    <w:rsid w:val="667D1EA7"/>
    <w:rsid w:val="667E43DB"/>
    <w:rsid w:val="66931281"/>
    <w:rsid w:val="66940408"/>
    <w:rsid w:val="6696A37F"/>
    <w:rsid w:val="66981B0B"/>
    <w:rsid w:val="66983EFB"/>
    <w:rsid w:val="669AB7B6"/>
    <w:rsid w:val="669B5C7A"/>
    <w:rsid w:val="66A47074"/>
    <w:rsid w:val="66CA8975"/>
    <w:rsid w:val="66CC47C1"/>
    <w:rsid w:val="66D2A25D"/>
    <w:rsid w:val="66D3CCBC"/>
    <w:rsid w:val="66D4022D"/>
    <w:rsid w:val="66D84D5C"/>
    <w:rsid w:val="66E0DA49"/>
    <w:rsid w:val="66E134E4"/>
    <w:rsid w:val="66F2191C"/>
    <w:rsid w:val="66F319D9"/>
    <w:rsid w:val="66F79C5C"/>
    <w:rsid w:val="66FC90C2"/>
    <w:rsid w:val="6701929F"/>
    <w:rsid w:val="67058EBA"/>
    <w:rsid w:val="670ADF33"/>
    <w:rsid w:val="67187416"/>
    <w:rsid w:val="6718D086"/>
    <w:rsid w:val="671A8DF7"/>
    <w:rsid w:val="671BC33F"/>
    <w:rsid w:val="672AAB85"/>
    <w:rsid w:val="672BEF68"/>
    <w:rsid w:val="67340F05"/>
    <w:rsid w:val="67344A5A"/>
    <w:rsid w:val="67357668"/>
    <w:rsid w:val="6745706C"/>
    <w:rsid w:val="67488D3F"/>
    <w:rsid w:val="675D01AB"/>
    <w:rsid w:val="67766018"/>
    <w:rsid w:val="677DD756"/>
    <w:rsid w:val="678096F5"/>
    <w:rsid w:val="6788B5A1"/>
    <w:rsid w:val="678EBDF7"/>
    <w:rsid w:val="67906C22"/>
    <w:rsid w:val="67920F4B"/>
    <w:rsid w:val="67957982"/>
    <w:rsid w:val="67B5D245"/>
    <w:rsid w:val="67B81F03"/>
    <w:rsid w:val="67BC57B6"/>
    <w:rsid w:val="67BC777F"/>
    <w:rsid w:val="67C4D143"/>
    <w:rsid w:val="67C82F7A"/>
    <w:rsid w:val="67CDCB6C"/>
    <w:rsid w:val="67D256AC"/>
    <w:rsid w:val="67D7C227"/>
    <w:rsid w:val="67E51E00"/>
    <w:rsid w:val="67E70D7B"/>
    <w:rsid w:val="67E970CA"/>
    <w:rsid w:val="67F9C9AF"/>
    <w:rsid w:val="68035A92"/>
    <w:rsid w:val="680A207A"/>
    <w:rsid w:val="6810C582"/>
    <w:rsid w:val="681C5059"/>
    <w:rsid w:val="681FE86B"/>
    <w:rsid w:val="68288DFF"/>
    <w:rsid w:val="682C4DB4"/>
    <w:rsid w:val="685C4797"/>
    <w:rsid w:val="686191CB"/>
    <w:rsid w:val="6868852D"/>
    <w:rsid w:val="6868BED5"/>
    <w:rsid w:val="686BF9E8"/>
    <w:rsid w:val="686DF6A5"/>
    <w:rsid w:val="6875C2FC"/>
    <w:rsid w:val="687A2B4E"/>
    <w:rsid w:val="687DF266"/>
    <w:rsid w:val="6883517C"/>
    <w:rsid w:val="688F09C0"/>
    <w:rsid w:val="689B7001"/>
    <w:rsid w:val="689E88DE"/>
    <w:rsid w:val="68A29BD8"/>
    <w:rsid w:val="68B4A38F"/>
    <w:rsid w:val="68CF406F"/>
    <w:rsid w:val="68D1D6EF"/>
    <w:rsid w:val="68DF6605"/>
    <w:rsid w:val="68E20E03"/>
    <w:rsid w:val="68EA113C"/>
    <w:rsid w:val="68F2BFC8"/>
    <w:rsid w:val="68F8618E"/>
    <w:rsid w:val="6917BB45"/>
    <w:rsid w:val="6925AD20"/>
    <w:rsid w:val="69264021"/>
    <w:rsid w:val="694CD079"/>
    <w:rsid w:val="694F9CEA"/>
    <w:rsid w:val="696A6023"/>
    <w:rsid w:val="696DBC10"/>
    <w:rsid w:val="697184FF"/>
    <w:rsid w:val="6971DE1E"/>
    <w:rsid w:val="6975956F"/>
    <w:rsid w:val="6975DFD5"/>
    <w:rsid w:val="69783D1B"/>
    <w:rsid w:val="69835B76"/>
    <w:rsid w:val="698DC97F"/>
    <w:rsid w:val="698DD16E"/>
    <w:rsid w:val="6994EB58"/>
    <w:rsid w:val="69961792"/>
    <w:rsid w:val="699E11D0"/>
    <w:rsid w:val="69AE0C13"/>
    <w:rsid w:val="69AEB367"/>
    <w:rsid w:val="69B6B152"/>
    <w:rsid w:val="69B72B36"/>
    <w:rsid w:val="69BAAD4E"/>
    <w:rsid w:val="69BF0E8D"/>
    <w:rsid w:val="69C4156F"/>
    <w:rsid w:val="69CA513E"/>
    <w:rsid w:val="69D16D74"/>
    <w:rsid w:val="69D2ACF7"/>
    <w:rsid w:val="69DCADCB"/>
    <w:rsid w:val="69E2BA97"/>
    <w:rsid w:val="69EFAE0F"/>
    <w:rsid w:val="69FA0BD9"/>
    <w:rsid w:val="6A085F47"/>
    <w:rsid w:val="6A09460A"/>
    <w:rsid w:val="6A12179B"/>
    <w:rsid w:val="6A178C25"/>
    <w:rsid w:val="6A1DCDC5"/>
    <w:rsid w:val="6A2654E6"/>
    <w:rsid w:val="6A276E09"/>
    <w:rsid w:val="6A2BC110"/>
    <w:rsid w:val="6A2D768C"/>
    <w:rsid w:val="6A2FAF08"/>
    <w:rsid w:val="6A30E955"/>
    <w:rsid w:val="6A32E4A7"/>
    <w:rsid w:val="6A3DA92E"/>
    <w:rsid w:val="6A3FBFB0"/>
    <w:rsid w:val="6A429AA1"/>
    <w:rsid w:val="6A434FDE"/>
    <w:rsid w:val="6A4BF8B6"/>
    <w:rsid w:val="6A4E641F"/>
    <w:rsid w:val="6A5013FE"/>
    <w:rsid w:val="6A53A7BA"/>
    <w:rsid w:val="6A551DEB"/>
    <w:rsid w:val="6A5B00C9"/>
    <w:rsid w:val="6A5B2C58"/>
    <w:rsid w:val="6A5DFD5C"/>
    <w:rsid w:val="6A6A6EB3"/>
    <w:rsid w:val="6A6DC97E"/>
    <w:rsid w:val="6A72F435"/>
    <w:rsid w:val="6A787206"/>
    <w:rsid w:val="6A798895"/>
    <w:rsid w:val="6A7BF9CA"/>
    <w:rsid w:val="6A80BF43"/>
    <w:rsid w:val="6A9107D8"/>
    <w:rsid w:val="6A944763"/>
    <w:rsid w:val="6A95470C"/>
    <w:rsid w:val="6AAA1799"/>
    <w:rsid w:val="6AB087B0"/>
    <w:rsid w:val="6AB0F466"/>
    <w:rsid w:val="6ABBD02C"/>
    <w:rsid w:val="6AD499C5"/>
    <w:rsid w:val="6AD957EA"/>
    <w:rsid w:val="6AE0CFC5"/>
    <w:rsid w:val="6AE425C2"/>
    <w:rsid w:val="6AF35EFA"/>
    <w:rsid w:val="6AFA88F9"/>
    <w:rsid w:val="6AFB451F"/>
    <w:rsid w:val="6B0C972A"/>
    <w:rsid w:val="6B24E845"/>
    <w:rsid w:val="6B258771"/>
    <w:rsid w:val="6B3692D8"/>
    <w:rsid w:val="6B3AEA6B"/>
    <w:rsid w:val="6B3E8E39"/>
    <w:rsid w:val="6B4484AB"/>
    <w:rsid w:val="6B4E2F14"/>
    <w:rsid w:val="6B502AA9"/>
    <w:rsid w:val="6B57FE7B"/>
    <w:rsid w:val="6B676FA2"/>
    <w:rsid w:val="6B68F18F"/>
    <w:rsid w:val="6B7C34D5"/>
    <w:rsid w:val="6B7E0B85"/>
    <w:rsid w:val="6B867DB4"/>
    <w:rsid w:val="6B8F0CEA"/>
    <w:rsid w:val="6B9D25D7"/>
    <w:rsid w:val="6B9EA6ED"/>
    <w:rsid w:val="6B9F9629"/>
    <w:rsid w:val="6BA5342D"/>
    <w:rsid w:val="6BA5DC62"/>
    <w:rsid w:val="6BACA2F0"/>
    <w:rsid w:val="6BB6F481"/>
    <w:rsid w:val="6BBA64EC"/>
    <w:rsid w:val="6BC32614"/>
    <w:rsid w:val="6BCD6BC9"/>
    <w:rsid w:val="6BCE9803"/>
    <w:rsid w:val="6BCF703D"/>
    <w:rsid w:val="6BD612D5"/>
    <w:rsid w:val="6BD7377F"/>
    <w:rsid w:val="6BDB9ED8"/>
    <w:rsid w:val="6BDBB5F4"/>
    <w:rsid w:val="6BE219BE"/>
    <w:rsid w:val="6BEB7BFB"/>
    <w:rsid w:val="6BFA8A24"/>
    <w:rsid w:val="6C0999DF"/>
    <w:rsid w:val="6C0EE9F0"/>
    <w:rsid w:val="6C10CCD9"/>
    <w:rsid w:val="6C1C870B"/>
    <w:rsid w:val="6C259FFA"/>
    <w:rsid w:val="6C27CD56"/>
    <w:rsid w:val="6C28DEB7"/>
    <w:rsid w:val="6C338041"/>
    <w:rsid w:val="6C4EE029"/>
    <w:rsid w:val="6C5361C0"/>
    <w:rsid w:val="6C69853D"/>
    <w:rsid w:val="6C69ABFC"/>
    <w:rsid w:val="6C6B2602"/>
    <w:rsid w:val="6C7E3BAD"/>
    <w:rsid w:val="6C7F6067"/>
    <w:rsid w:val="6C858CBA"/>
    <w:rsid w:val="6C873D85"/>
    <w:rsid w:val="6C958A93"/>
    <w:rsid w:val="6C975D9E"/>
    <w:rsid w:val="6C9C6C2D"/>
    <w:rsid w:val="6C9C9DE7"/>
    <w:rsid w:val="6CB7AFF1"/>
    <w:rsid w:val="6CC274E7"/>
    <w:rsid w:val="6CC2934C"/>
    <w:rsid w:val="6CC3E446"/>
    <w:rsid w:val="6CD64EF6"/>
    <w:rsid w:val="6CE00595"/>
    <w:rsid w:val="6CE379F2"/>
    <w:rsid w:val="6CEC88A4"/>
    <w:rsid w:val="6CF47046"/>
    <w:rsid w:val="6D1497E3"/>
    <w:rsid w:val="6D17F28F"/>
    <w:rsid w:val="6D19E5EC"/>
    <w:rsid w:val="6D1A9C49"/>
    <w:rsid w:val="6D2423B0"/>
    <w:rsid w:val="6D314197"/>
    <w:rsid w:val="6D36275E"/>
    <w:rsid w:val="6D41C038"/>
    <w:rsid w:val="6D422184"/>
    <w:rsid w:val="6D4762D3"/>
    <w:rsid w:val="6D4CF382"/>
    <w:rsid w:val="6D5C6DBA"/>
    <w:rsid w:val="6D66C101"/>
    <w:rsid w:val="6D69A9FC"/>
    <w:rsid w:val="6D6F04A5"/>
    <w:rsid w:val="6D71A13E"/>
    <w:rsid w:val="6D72CD2F"/>
    <w:rsid w:val="6D765184"/>
    <w:rsid w:val="6D79173B"/>
    <w:rsid w:val="6D7C5E0A"/>
    <w:rsid w:val="6D810432"/>
    <w:rsid w:val="6D858499"/>
    <w:rsid w:val="6D907027"/>
    <w:rsid w:val="6D9F146A"/>
    <w:rsid w:val="6DA4B6FC"/>
    <w:rsid w:val="6DA9403C"/>
    <w:rsid w:val="6DAA3E04"/>
    <w:rsid w:val="6DB50AE6"/>
    <w:rsid w:val="6DB8B786"/>
    <w:rsid w:val="6DB9974F"/>
    <w:rsid w:val="6DCA0F62"/>
    <w:rsid w:val="6DCB8D68"/>
    <w:rsid w:val="6DCE14DD"/>
    <w:rsid w:val="6DD13746"/>
    <w:rsid w:val="6DDBD62E"/>
    <w:rsid w:val="6DE562DD"/>
    <w:rsid w:val="6DE62AEE"/>
    <w:rsid w:val="6DE82872"/>
    <w:rsid w:val="6DEC152D"/>
    <w:rsid w:val="6DECD29E"/>
    <w:rsid w:val="6DF3E34C"/>
    <w:rsid w:val="6DFE9932"/>
    <w:rsid w:val="6E0465FF"/>
    <w:rsid w:val="6E055EAF"/>
    <w:rsid w:val="6E05BF69"/>
    <w:rsid w:val="6E0919A9"/>
    <w:rsid w:val="6E0A82D8"/>
    <w:rsid w:val="6E0B5814"/>
    <w:rsid w:val="6E0C1899"/>
    <w:rsid w:val="6E0E9A9E"/>
    <w:rsid w:val="6E14B3C7"/>
    <w:rsid w:val="6E178501"/>
    <w:rsid w:val="6E18EE53"/>
    <w:rsid w:val="6E1A2E64"/>
    <w:rsid w:val="6E305ED5"/>
    <w:rsid w:val="6E3104A5"/>
    <w:rsid w:val="6E4EDECA"/>
    <w:rsid w:val="6E56803A"/>
    <w:rsid w:val="6E58BDB4"/>
    <w:rsid w:val="6E5E27CD"/>
    <w:rsid w:val="6E62C1AB"/>
    <w:rsid w:val="6E647766"/>
    <w:rsid w:val="6E66D9E2"/>
    <w:rsid w:val="6E6D8515"/>
    <w:rsid w:val="6E803552"/>
    <w:rsid w:val="6E81B717"/>
    <w:rsid w:val="6E8372AB"/>
    <w:rsid w:val="6E88BA9B"/>
    <w:rsid w:val="6E9C26E6"/>
    <w:rsid w:val="6E9DE52C"/>
    <w:rsid w:val="6EA11EC3"/>
    <w:rsid w:val="6EA9789A"/>
    <w:rsid w:val="6EADF1C4"/>
    <w:rsid w:val="6EB250F9"/>
    <w:rsid w:val="6EB8D226"/>
    <w:rsid w:val="6EB8ED27"/>
    <w:rsid w:val="6EC61A69"/>
    <w:rsid w:val="6ECC9F34"/>
    <w:rsid w:val="6EDBAEF7"/>
    <w:rsid w:val="6EDCFC12"/>
    <w:rsid w:val="6EE80632"/>
    <w:rsid w:val="6EEC9BBA"/>
    <w:rsid w:val="6EF12301"/>
    <w:rsid w:val="6EF1F263"/>
    <w:rsid w:val="6EF88119"/>
    <w:rsid w:val="6EFC9827"/>
    <w:rsid w:val="6EFFCCCE"/>
    <w:rsid w:val="6F064B95"/>
    <w:rsid w:val="6F0D691B"/>
    <w:rsid w:val="6F10AC13"/>
    <w:rsid w:val="6F16EE62"/>
    <w:rsid w:val="6F171950"/>
    <w:rsid w:val="6F1E5077"/>
    <w:rsid w:val="6F233DB3"/>
    <w:rsid w:val="6F27A459"/>
    <w:rsid w:val="6F50F006"/>
    <w:rsid w:val="6F5A1371"/>
    <w:rsid w:val="6F5B956A"/>
    <w:rsid w:val="6F5F6BA4"/>
    <w:rsid w:val="6F6959F3"/>
    <w:rsid w:val="6F69D5A4"/>
    <w:rsid w:val="6F6D75DE"/>
    <w:rsid w:val="6F7420A9"/>
    <w:rsid w:val="6F7B47A8"/>
    <w:rsid w:val="6F85DAF4"/>
    <w:rsid w:val="6F91DF49"/>
    <w:rsid w:val="6F95A13A"/>
    <w:rsid w:val="6F966B73"/>
    <w:rsid w:val="6F9D2122"/>
    <w:rsid w:val="6FA6D39C"/>
    <w:rsid w:val="6FA851EB"/>
    <w:rsid w:val="6FD164C0"/>
    <w:rsid w:val="6FD88B0C"/>
    <w:rsid w:val="6FDD79E3"/>
    <w:rsid w:val="6FE8F8DA"/>
    <w:rsid w:val="6FFAC852"/>
    <w:rsid w:val="6FFF386F"/>
    <w:rsid w:val="7001063E"/>
    <w:rsid w:val="7005C136"/>
    <w:rsid w:val="70147738"/>
    <w:rsid w:val="7021B716"/>
    <w:rsid w:val="702381D4"/>
    <w:rsid w:val="702E853F"/>
    <w:rsid w:val="702EB3DA"/>
    <w:rsid w:val="702F4738"/>
    <w:rsid w:val="7031CAD3"/>
    <w:rsid w:val="7032547D"/>
    <w:rsid w:val="7043E7B2"/>
    <w:rsid w:val="7047E569"/>
    <w:rsid w:val="70488CBA"/>
    <w:rsid w:val="704A3A7C"/>
    <w:rsid w:val="70547194"/>
    <w:rsid w:val="705593F4"/>
    <w:rsid w:val="70569A7C"/>
    <w:rsid w:val="70672E39"/>
    <w:rsid w:val="7068677B"/>
    <w:rsid w:val="707B5C6C"/>
    <w:rsid w:val="707E84D8"/>
    <w:rsid w:val="707FAA6C"/>
    <w:rsid w:val="708AAE13"/>
    <w:rsid w:val="708B52F3"/>
    <w:rsid w:val="708D0568"/>
    <w:rsid w:val="709EDF52"/>
    <w:rsid w:val="70BE5682"/>
    <w:rsid w:val="70BF8259"/>
    <w:rsid w:val="70C0D3F2"/>
    <w:rsid w:val="70C21B5C"/>
    <w:rsid w:val="70C90DA4"/>
    <w:rsid w:val="70CB83CF"/>
    <w:rsid w:val="70CC7458"/>
    <w:rsid w:val="70D32F1E"/>
    <w:rsid w:val="70DB5E47"/>
    <w:rsid w:val="70E0C9A8"/>
    <w:rsid w:val="70E21335"/>
    <w:rsid w:val="70EEE1E6"/>
    <w:rsid w:val="70F0A97C"/>
    <w:rsid w:val="70F20BEE"/>
    <w:rsid w:val="70F6DFA3"/>
    <w:rsid w:val="7105365B"/>
    <w:rsid w:val="71136D05"/>
    <w:rsid w:val="711E6696"/>
    <w:rsid w:val="71329530"/>
    <w:rsid w:val="71374A67"/>
    <w:rsid w:val="7139DC68"/>
    <w:rsid w:val="714E2DB4"/>
    <w:rsid w:val="7153D383"/>
    <w:rsid w:val="7153E291"/>
    <w:rsid w:val="7166FA12"/>
    <w:rsid w:val="717966C2"/>
    <w:rsid w:val="71877F27"/>
    <w:rsid w:val="7189D387"/>
    <w:rsid w:val="7191260C"/>
    <w:rsid w:val="71966BCF"/>
    <w:rsid w:val="7198EDA1"/>
    <w:rsid w:val="71A12489"/>
    <w:rsid w:val="71C3C2AD"/>
    <w:rsid w:val="71C4478F"/>
    <w:rsid w:val="71C46338"/>
    <w:rsid w:val="71C86DA4"/>
    <w:rsid w:val="71CB3F8C"/>
    <w:rsid w:val="71CB7B86"/>
    <w:rsid w:val="71D4CDCC"/>
    <w:rsid w:val="71DAABD6"/>
    <w:rsid w:val="71F393F4"/>
    <w:rsid w:val="7225447E"/>
    <w:rsid w:val="7230B56C"/>
    <w:rsid w:val="723F0AAC"/>
    <w:rsid w:val="7240468F"/>
    <w:rsid w:val="7242AB52"/>
    <w:rsid w:val="7249364F"/>
    <w:rsid w:val="72604FD4"/>
    <w:rsid w:val="726436D3"/>
    <w:rsid w:val="726933BD"/>
    <w:rsid w:val="726C9C3D"/>
    <w:rsid w:val="726F894E"/>
    <w:rsid w:val="72764FFC"/>
    <w:rsid w:val="727C9A09"/>
    <w:rsid w:val="728209A1"/>
    <w:rsid w:val="7285C01C"/>
    <w:rsid w:val="72877D77"/>
    <w:rsid w:val="728B5144"/>
    <w:rsid w:val="7290ABE4"/>
    <w:rsid w:val="729222BC"/>
    <w:rsid w:val="7292797A"/>
    <w:rsid w:val="7299AB08"/>
    <w:rsid w:val="729E7096"/>
    <w:rsid w:val="729EDD20"/>
    <w:rsid w:val="72AF325B"/>
    <w:rsid w:val="72BB0F47"/>
    <w:rsid w:val="72BEBCF4"/>
    <w:rsid w:val="72CE269D"/>
    <w:rsid w:val="72D0320E"/>
    <w:rsid w:val="72D89F67"/>
    <w:rsid w:val="72E372C6"/>
    <w:rsid w:val="72E5BEF1"/>
    <w:rsid w:val="72EA09DA"/>
    <w:rsid w:val="72EB0151"/>
    <w:rsid w:val="72F07901"/>
    <w:rsid w:val="72F46D88"/>
    <w:rsid w:val="72F6A56B"/>
    <w:rsid w:val="73002021"/>
    <w:rsid w:val="73029296"/>
    <w:rsid w:val="730751E9"/>
    <w:rsid w:val="73096F3A"/>
    <w:rsid w:val="730A3943"/>
    <w:rsid w:val="73116915"/>
    <w:rsid w:val="7311A062"/>
    <w:rsid w:val="73143FC1"/>
    <w:rsid w:val="73188295"/>
    <w:rsid w:val="731DF8DB"/>
    <w:rsid w:val="7322B674"/>
    <w:rsid w:val="7322E7F2"/>
    <w:rsid w:val="732C1CFE"/>
    <w:rsid w:val="7333C84A"/>
    <w:rsid w:val="73379F03"/>
    <w:rsid w:val="733B7702"/>
    <w:rsid w:val="73411A61"/>
    <w:rsid w:val="7341E02F"/>
    <w:rsid w:val="734BB793"/>
    <w:rsid w:val="734E852F"/>
    <w:rsid w:val="734F8039"/>
    <w:rsid w:val="73579791"/>
    <w:rsid w:val="735B2C50"/>
    <w:rsid w:val="736426D9"/>
    <w:rsid w:val="73647576"/>
    <w:rsid w:val="7364CE88"/>
    <w:rsid w:val="736EB35F"/>
    <w:rsid w:val="7373D02B"/>
    <w:rsid w:val="73741471"/>
    <w:rsid w:val="737C4186"/>
    <w:rsid w:val="73854C6A"/>
    <w:rsid w:val="7386F264"/>
    <w:rsid w:val="738DBAE8"/>
    <w:rsid w:val="7390D84F"/>
    <w:rsid w:val="7391B166"/>
    <w:rsid w:val="73A0C059"/>
    <w:rsid w:val="73A98341"/>
    <w:rsid w:val="73ADF95C"/>
    <w:rsid w:val="73B41C2A"/>
    <w:rsid w:val="73B64F0F"/>
    <w:rsid w:val="73BF8D20"/>
    <w:rsid w:val="73C057AC"/>
    <w:rsid w:val="73D05681"/>
    <w:rsid w:val="73D7CDCD"/>
    <w:rsid w:val="73DBD2E1"/>
    <w:rsid w:val="73DD47CA"/>
    <w:rsid w:val="73DE1347"/>
    <w:rsid w:val="73E00544"/>
    <w:rsid w:val="73E24838"/>
    <w:rsid w:val="73EA9358"/>
    <w:rsid w:val="7403D796"/>
    <w:rsid w:val="74098895"/>
    <w:rsid w:val="740C9C49"/>
    <w:rsid w:val="74115FEE"/>
    <w:rsid w:val="74121E85"/>
    <w:rsid w:val="741A4B2D"/>
    <w:rsid w:val="74253921"/>
    <w:rsid w:val="7426AAC5"/>
    <w:rsid w:val="7428C268"/>
    <w:rsid w:val="7433562D"/>
    <w:rsid w:val="7443CF1E"/>
    <w:rsid w:val="7446E9A2"/>
    <w:rsid w:val="7450E1A5"/>
    <w:rsid w:val="7451421D"/>
    <w:rsid w:val="7451F408"/>
    <w:rsid w:val="7453EF60"/>
    <w:rsid w:val="745D220B"/>
    <w:rsid w:val="7466CF89"/>
    <w:rsid w:val="74678DC7"/>
    <w:rsid w:val="7467ED03"/>
    <w:rsid w:val="746ABCC7"/>
    <w:rsid w:val="747362B9"/>
    <w:rsid w:val="7476C112"/>
    <w:rsid w:val="74778738"/>
    <w:rsid w:val="747FD94D"/>
    <w:rsid w:val="7481007C"/>
    <w:rsid w:val="748236F6"/>
    <w:rsid w:val="748D03D6"/>
    <w:rsid w:val="748E008B"/>
    <w:rsid w:val="7493E3C4"/>
    <w:rsid w:val="749FAF1F"/>
    <w:rsid w:val="74A2DA05"/>
    <w:rsid w:val="74A5B98B"/>
    <w:rsid w:val="74AF299D"/>
    <w:rsid w:val="74BFA2EB"/>
    <w:rsid w:val="74D00DA9"/>
    <w:rsid w:val="74D5C318"/>
    <w:rsid w:val="74D6E846"/>
    <w:rsid w:val="74E2E153"/>
    <w:rsid w:val="74F6D670"/>
    <w:rsid w:val="74F8F127"/>
    <w:rsid w:val="74F96DF4"/>
    <w:rsid w:val="74FC90B5"/>
    <w:rsid w:val="74FFDD04"/>
    <w:rsid w:val="750D0371"/>
    <w:rsid w:val="750D9B20"/>
    <w:rsid w:val="750E6F65"/>
    <w:rsid w:val="751542DC"/>
    <w:rsid w:val="7518ECE3"/>
    <w:rsid w:val="75202142"/>
    <w:rsid w:val="7524C5A3"/>
    <w:rsid w:val="7526B56B"/>
    <w:rsid w:val="7534003C"/>
    <w:rsid w:val="75373481"/>
    <w:rsid w:val="754FBF88"/>
    <w:rsid w:val="75539B44"/>
    <w:rsid w:val="75555F3F"/>
    <w:rsid w:val="755A0B11"/>
    <w:rsid w:val="755D2057"/>
    <w:rsid w:val="75601916"/>
    <w:rsid w:val="75611FC6"/>
    <w:rsid w:val="756F4BD3"/>
    <w:rsid w:val="75735402"/>
    <w:rsid w:val="757A8E27"/>
    <w:rsid w:val="7582361A"/>
    <w:rsid w:val="7588C465"/>
    <w:rsid w:val="7593E18F"/>
    <w:rsid w:val="7595A1F2"/>
    <w:rsid w:val="759C665E"/>
    <w:rsid w:val="759CC888"/>
    <w:rsid w:val="75A02C1C"/>
    <w:rsid w:val="75A89240"/>
    <w:rsid w:val="75B2C6BE"/>
    <w:rsid w:val="75B390E0"/>
    <w:rsid w:val="75C23F93"/>
    <w:rsid w:val="75C44D70"/>
    <w:rsid w:val="75CABBC0"/>
    <w:rsid w:val="75D356E2"/>
    <w:rsid w:val="75D9A506"/>
    <w:rsid w:val="75E76CA4"/>
    <w:rsid w:val="75F55D41"/>
    <w:rsid w:val="75F56887"/>
    <w:rsid w:val="75F7E564"/>
    <w:rsid w:val="75FB80C0"/>
    <w:rsid w:val="75FD4BCC"/>
    <w:rsid w:val="7600A8E1"/>
    <w:rsid w:val="76021A64"/>
    <w:rsid w:val="760226DF"/>
    <w:rsid w:val="76082D0E"/>
    <w:rsid w:val="760926BE"/>
    <w:rsid w:val="7613C887"/>
    <w:rsid w:val="76141F84"/>
    <w:rsid w:val="76214BF3"/>
    <w:rsid w:val="763075C2"/>
    <w:rsid w:val="7635BCD0"/>
    <w:rsid w:val="763AEF11"/>
    <w:rsid w:val="7649DA22"/>
    <w:rsid w:val="764F5395"/>
    <w:rsid w:val="764FC0DB"/>
    <w:rsid w:val="76538F5E"/>
    <w:rsid w:val="76542F82"/>
    <w:rsid w:val="765A1494"/>
    <w:rsid w:val="7662DE98"/>
    <w:rsid w:val="767651B5"/>
    <w:rsid w:val="767B4B6F"/>
    <w:rsid w:val="767E8636"/>
    <w:rsid w:val="76817ADF"/>
    <w:rsid w:val="768FF6A2"/>
    <w:rsid w:val="7691247D"/>
    <w:rsid w:val="769A9201"/>
    <w:rsid w:val="769AB7BF"/>
    <w:rsid w:val="769F0E72"/>
    <w:rsid w:val="76B3BE5D"/>
    <w:rsid w:val="76B5C828"/>
    <w:rsid w:val="76B7BB3B"/>
    <w:rsid w:val="76C58A02"/>
    <w:rsid w:val="76C5E526"/>
    <w:rsid w:val="76CE399F"/>
    <w:rsid w:val="76D474DB"/>
    <w:rsid w:val="76DAE922"/>
    <w:rsid w:val="76E18BD8"/>
    <w:rsid w:val="76EB058B"/>
    <w:rsid w:val="76EE3D3A"/>
    <w:rsid w:val="76FDFCB3"/>
    <w:rsid w:val="7701C86F"/>
    <w:rsid w:val="770A4415"/>
    <w:rsid w:val="770D63F5"/>
    <w:rsid w:val="77125101"/>
    <w:rsid w:val="7712EA3C"/>
    <w:rsid w:val="7714203E"/>
    <w:rsid w:val="771A44A2"/>
    <w:rsid w:val="771CD17B"/>
    <w:rsid w:val="7736DEF5"/>
    <w:rsid w:val="774904C9"/>
    <w:rsid w:val="77555B4E"/>
    <w:rsid w:val="77652578"/>
    <w:rsid w:val="7769538B"/>
    <w:rsid w:val="77695B80"/>
    <w:rsid w:val="776DAF6B"/>
    <w:rsid w:val="776EAA5C"/>
    <w:rsid w:val="776F0549"/>
    <w:rsid w:val="776F1E45"/>
    <w:rsid w:val="777071B8"/>
    <w:rsid w:val="77733148"/>
    <w:rsid w:val="777DCFDF"/>
    <w:rsid w:val="777F50C5"/>
    <w:rsid w:val="778211EF"/>
    <w:rsid w:val="778AA145"/>
    <w:rsid w:val="779279BC"/>
    <w:rsid w:val="77960A99"/>
    <w:rsid w:val="779E46D6"/>
    <w:rsid w:val="77A2A5A6"/>
    <w:rsid w:val="77A56147"/>
    <w:rsid w:val="77B031F7"/>
    <w:rsid w:val="77B0D444"/>
    <w:rsid w:val="77CC8216"/>
    <w:rsid w:val="77CC88D8"/>
    <w:rsid w:val="77D2430E"/>
    <w:rsid w:val="77D53230"/>
    <w:rsid w:val="77D6ABF6"/>
    <w:rsid w:val="77DFDCC8"/>
    <w:rsid w:val="77E089A0"/>
    <w:rsid w:val="77E47A47"/>
    <w:rsid w:val="77EBD48C"/>
    <w:rsid w:val="77FD3EE1"/>
    <w:rsid w:val="78018AE3"/>
    <w:rsid w:val="78035325"/>
    <w:rsid w:val="78084385"/>
    <w:rsid w:val="780E6A7A"/>
    <w:rsid w:val="780E8908"/>
    <w:rsid w:val="7810899E"/>
    <w:rsid w:val="7811C96C"/>
    <w:rsid w:val="781BD7C4"/>
    <w:rsid w:val="781F4DD8"/>
    <w:rsid w:val="7824798C"/>
    <w:rsid w:val="7824F6E4"/>
    <w:rsid w:val="78277EC5"/>
    <w:rsid w:val="78380069"/>
    <w:rsid w:val="783BD0C0"/>
    <w:rsid w:val="783D4F31"/>
    <w:rsid w:val="78559AE3"/>
    <w:rsid w:val="785C6543"/>
    <w:rsid w:val="7871D2DC"/>
    <w:rsid w:val="78759E20"/>
    <w:rsid w:val="7875F375"/>
    <w:rsid w:val="788018D2"/>
    <w:rsid w:val="7885BB59"/>
    <w:rsid w:val="789D14BF"/>
    <w:rsid w:val="78AA671C"/>
    <w:rsid w:val="78B3300A"/>
    <w:rsid w:val="78B92334"/>
    <w:rsid w:val="78B9E4E8"/>
    <w:rsid w:val="78C065BC"/>
    <w:rsid w:val="78D10695"/>
    <w:rsid w:val="78EF39CE"/>
    <w:rsid w:val="78F46418"/>
    <w:rsid w:val="790BC56A"/>
    <w:rsid w:val="791B4DE7"/>
    <w:rsid w:val="791E390E"/>
    <w:rsid w:val="792BE4E6"/>
    <w:rsid w:val="793C0021"/>
    <w:rsid w:val="793D8750"/>
    <w:rsid w:val="7951D0F2"/>
    <w:rsid w:val="795848D7"/>
    <w:rsid w:val="79732FF9"/>
    <w:rsid w:val="797384D5"/>
    <w:rsid w:val="798CA5E9"/>
    <w:rsid w:val="79927EA4"/>
    <w:rsid w:val="79A3E76E"/>
    <w:rsid w:val="79B6595D"/>
    <w:rsid w:val="79C11832"/>
    <w:rsid w:val="79C12056"/>
    <w:rsid w:val="79CA81A9"/>
    <w:rsid w:val="79D3BC5F"/>
    <w:rsid w:val="79DB5535"/>
    <w:rsid w:val="79DF69DA"/>
    <w:rsid w:val="79E8AC97"/>
    <w:rsid w:val="7A03085C"/>
    <w:rsid w:val="7A09D8FF"/>
    <w:rsid w:val="7A25301A"/>
    <w:rsid w:val="7A26EE10"/>
    <w:rsid w:val="7A2980DF"/>
    <w:rsid w:val="7A2AB1C6"/>
    <w:rsid w:val="7A30917A"/>
    <w:rsid w:val="7A346C6A"/>
    <w:rsid w:val="7A35C205"/>
    <w:rsid w:val="7A39399E"/>
    <w:rsid w:val="7A3FBA4A"/>
    <w:rsid w:val="7A44CA0F"/>
    <w:rsid w:val="7A5C816E"/>
    <w:rsid w:val="7A5EEB38"/>
    <w:rsid w:val="7A653709"/>
    <w:rsid w:val="7A6D9B2B"/>
    <w:rsid w:val="7A84EA51"/>
    <w:rsid w:val="7A876FE8"/>
    <w:rsid w:val="7A87FE1E"/>
    <w:rsid w:val="7A8CDAB8"/>
    <w:rsid w:val="7A8D9CBA"/>
    <w:rsid w:val="7A8E2E77"/>
    <w:rsid w:val="7A99431F"/>
    <w:rsid w:val="7AA18827"/>
    <w:rsid w:val="7AA21EE6"/>
    <w:rsid w:val="7ABC8E83"/>
    <w:rsid w:val="7ABF3937"/>
    <w:rsid w:val="7AC96F18"/>
    <w:rsid w:val="7ACCE5AD"/>
    <w:rsid w:val="7AE0238B"/>
    <w:rsid w:val="7AECA97D"/>
    <w:rsid w:val="7AEF5948"/>
    <w:rsid w:val="7AF739C7"/>
    <w:rsid w:val="7AFE0D92"/>
    <w:rsid w:val="7B0288F9"/>
    <w:rsid w:val="7B2B9CE3"/>
    <w:rsid w:val="7B2BEE3E"/>
    <w:rsid w:val="7B32D9E9"/>
    <w:rsid w:val="7B330B31"/>
    <w:rsid w:val="7B41C349"/>
    <w:rsid w:val="7B46E665"/>
    <w:rsid w:val="7B474CC2"/>
    <w:rsid w:val="7B4F89EE"/>
    <w:rsid w:val="7B51AB1B"/>
    <w:rsid w:val="7B6E06DA"/>
    <w:rsid w:val="7B74A5A4"/>
    <w:rsid w:val="7B7D22A5"/>
    <w:rsid w:val="7B849101"/>
    <w:rsid w:val="7B8BE70F"/>
    <w:rsid w:val="7B8EFE25"/>
    <w:rsid w:val="7B95F769"/>
    <w:rsid w:val="7B990241"/>
    <w:rsid w:val="7BA1E65B"/>
    <w:rsid w:val="7BAB92AC"/>
    <w:rsid w:val="7BABBF74"/>
    <w:rsid w:val="7BAF99EB"/>
    <w:rsid w:val="7BB3397E"/>
    <w:rsid w:val="7BC5C03A"/>
    <w:rsid w:val="7BC65CDE"/>
    <w:rsid w:val="7BDE149D"/>
    <w:rsid w:val="7BE67F9A"/>
    <w:rsid w:val="7BFABE1C"/>
    <w:rsid w:val="7C060752"/>
    <w:rsid w:val="7C129B26"/>
    <w:rsid w:val="7C19926E"/>
    <w:rsid w:val="7C1BDAFC"/>
    <w:rsid w:val="7C1FCD98"/>
    <w:rsid w:val="7C29E86B"/>
    <w:rsid w:val="7C2CB67B"/>
    <w:rsid w:val="7C2E04EB"/>
    <w:rsid w:val="7C32774F"/>
    <w:rsid w:val="7C36F6BC"/>
    <w:rsid w:val="7C497EA2"/>
    <w:rsid w:val="7C4D7B55"/>
    <w:rsid w:val="7C4E790E"/>
    <w:rsid w:val="7C61361F"/>
    <w:rsid w:val="7C703302"/>
    <w:rsid w:val="7C78CD80"/>
    <w:rsid w:val="7C80CC41"/>
    <w:rsid w:val="7C84F1A7"/>
    <w:rsid w:val="7C8B8691"/>
    <w:rsid w:val="7C908D99"/>
    <w:rsid w:val="7C944300"/>
    <w:rsid w:val="7C95CD9B"/>
    <w:rsid w:val="7C9614BB"/>
    <w:rsid w:val="7C9C7763"/>
    <w:rsid w:val="7CA45231"/>
    <w:rsid w:val="7CB3D91D"/>
    <w:rsid w:val="7CBF1F4A"/>
    <w:rsid w:val="7CC9D2B9"/>
    <w:rsid w:val="7CCB4EB2"/>
    <w:rsid w:val="7CCCDF4F"/>
    <w:rsid w:val="7CD24A08"/>
    <w:rsid w:val="7CD31943"/>
    <w:rsid w:val="7CD7B2E7"/>
    <w:rsid w:val="7CDB3301"/>
    <w:rsid w:val="7CDBB4A8"/>
    <w:rsid w:val="7CDCA3FB"/>
    <w:rsid w:val="7CDDF2A4"/>
    <w:rsid w:val="7CDEE5CB"/>
    <w:rsid w:val="7CEB6614"/>
    <w:rsid w:val="7CF7691E"/>
    <w:rsid w:val="7CF774FB"/>
    <w:rsid w:val="7CF99F23"/>
    <w:rsid w:val="7CFC111D"/>
    <w:rsid w:val="7CFF3853"/>
    <w:rsid w:val="7D04A4AC"/>
    <w:rsid w:val="7D083B39"/>
    <w:rsid w:val="7D139EE4"/>
    <w:rsid w:val="7D1CE3FA"/>
    <w:rsid w:val="7D23A5CD"/>
    <w:rsid w:val="7D318A20"/>
    <w:rsid w:val="7D38A0DC"/>
    <w:rsid w:val="7D411B13"/>
    <w:rsid w:val="7D4E91C7"/>
    <w:rsid w:val="7D527D0E"/>
    <w:rsid w:val="7D5529F8"/>
    <w:rsid w:val="7D564438"/>
    <w:rsid w:val="7D5AB43E"/>
    <w:rsid w:val="7D5DA556"/>
    <w:rsid w:val="7D614030"/>
    <w:rsid w:val="7D631954"/>
    <w:rsid w:val="7D6D15F5"/>
    <w:rsid w:val="7D6D8D36"/>
    <w:rsid w:val="7D6DD40E"/>
    <w:rsid w:val="7D6F770D"/>
    <w:rsid w:val="7D700221"/>
    <w:rsid w:val="7D702C18"/>
    <w:rsid w:val="7D78895C"/>
    <w:rsid w:val="7D7D3ADC"/>
    <w:rsid w:val="7D8BAF9C"/>
    <w:rsid w:val="7D9226F5"/>
    <w:rsid w:val="7D96FFA9"/>
    <w:rsid w:val="7D99F51B"/>
    <w:rsid w:val="7D9A94D7"/>
    <w:rsid w:val="7D9E7325"/>
    <w:rsid w:val="7DA6E596"/>
    <w:rsid w:val="7DADF84D"/>
    <w:rsid w:val="7DB481D1"/>
    <w:rsid w:val="7DB86D81"/>
    <w:rsid w:val="7DB92592"/>
    <w:rsid w:val="7DBA8913"/>
    <w:rsid w:val="7DBB8700"/>
    <w:rsid w:val="7DC1E7C9"/>
    <w:rsid w:val="7DC3778E"/>
    <w:rsid w:val="7DC6C036"/>
    <w:rsid w:val="7DC9430D"/>
    <w:rsid w:val="7DE96069"/>
    <w:rsid w:val="7DF8A732"/>
    <w:rsid w:val="7DFD5664"/>
    <w:rsid w:val="7DFEB7E3"/>
    <w:rsid w:val="7DFEC8F7"/>
    <w:rsid w:val="7E0639C2"/>
    <w:rsid w:val="7E08B3AD"/>
    <w:rsid w:val="7E0AFF1F"/>
    <w:rsid w:val="7E112A7C"/>
    <w:rsid w:val="7E16035B"/>
    <w:rsid w:val="7E20322A"/>
    <w:rsid w:val="7E2577A1"/>
    <w:rsid w:val="7E2D4395"/>
    <w:rsid w:val="7E2DC0D7"/>
    <w:rsid w:val="7E2DC7AB"/>
    <w:rsid w:val="7E33C2C5"/>
    <w:rsid w:val="7E398772"/>
    <w:rsid w:val="7E4305BF"/>
    <w:rsid w:val="7E47468D"/>
    <w:rsid w:val="7E53BBD0"/>
    <w:rsid w:val="7E569F37"/>
    <w:rsid w:val="7E5D6B09"/>
    <w:rsid w:val="7E604418"/>
    <w:rsid w:val="7E63BBFA"/>
    <w:rsid w:val="7E69236E"/>
    <w:rsid w:val="7E78DD72"/>
    <w:rsid w:val="7E7CA65C"/>
    <w:rsid w:val="7E7E2380"/>
    <w:rsid w:val="7E80DC4F"/>
    <w:rsid w:val="7E894E94"/>
    <w:rsid w:val="7E8E4D9D"/>
    <w:rsid w:val="7E9FF524"/>
    <w:rsid w:val="7EAEDAD0"/>
    <w:rsid w:val="7EB6CB33"/>
    <w:rsid w:val="7EBE78CC"/>
    <w:rsid w:val="7EC3A237"/>
    <w:rsid w:val="7EC9DACA"/>
    <w:rsid w:val="7ECE756C"/>
    <w:rsid w:val="7ED631F9"/>
    <w:rsid w:val="7ED7E728"/>
    <w:rsid w:val="7EDE7E7A"/>
    <w:rsid w:val="7EE39BC7"/>
    <w:rsid w:val="7EE6BD1D"/>
    <w:rsid w:val="7EE6F72F"/>
    <w:rsid w:val="7EF65F82"/>
    <w:rsid w:val="7EFB7BC6"/>
    <w:rsid w:val="7EFF1EF4"/>
    <w:rsid w:val="7F055DCB"/>
    <w:rsid w:val="7F15EABB"/>
    <w:rsid w:val="7F19D52C"/>
    <w:rsid w:val="7F33FB42"/>
    <w:rsid w:val="7F460DBC"/>
    <w:rsid w:val="7F49CC61"/>
    <w:rsid w:val="7F565AC2"/>
    <w:rsid w:val="7F5C0E8F"/>
    <w:rsid w:val="7F6434FF"/>
    <w:rsid w:val="7F650578"/>
    <w:rsid w:val="7F650923"/>
    <w:rsid w:val="7F6AA715"/>
    <w:rsid w:val="7F7E0273"/>
    <w:rsid w:val="7F83AF32"/>
    <w:rsid w:val="7F8CD9F8"/>
    <w:rsid w:val="7F8FD1C6"/>
    <w:rsid w:val="7F97C81F"/>
    <w:rsid w:val="7F9891CD"/>
    <w:rsid w:val="7F98D531"/>
    <w:rsid w:val="7F9B84B3"/>
    <w:rsid w:val="7F9BFD50"/>
    <w:rsid w:val="7FAC0620"/>
    <w:rsid w:val="7FAFB925"/>
    <w:rsid w:val="7FB66B11"/>
    <w:rsid w:val="7FBE17CE"/>
    <w:rsid w:val="7FBED898"/>
    <w:rsid w:val="7FC43B2D"/>
    <w:rsid w:val="7FC8488D"/>
    <w:rsid w:val="7FD2D91C"/>
    <w:rsid w:val="7FDBCF7D"/>
    <w:rsid w:val="7FE5A53F"/>
    <w:rsid w:val="7FE8A76B"/>
    <w:rsid w:val="7FF7305A"/>
    <w:rsid w:val="7FFA2206"/>
    <w:rsid w:val="7FFED3C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8C29"/>
  <w15:docId w15:val="{3FBF1713-BB0B-4D97-ABD7-51840081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sz w:val="24"/>
        <w:szCs w:val="24"/>
        <w:lang w:val="fr-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s="Arial"/>
      <w:color w:val="666666"/>
      <w:sz w:val="30"/>
      <w:szCs w:val="30"/>
    </w:rPr>
  </w:style>
  <w:style w:type="paragraph" w:styleId="ListParagraph">
    <w:name w:val="List Paragraph"/>
    <w:basedOn w:val="Normal"/>
    <w:uiPriority w:val="34"/>
    <w:qFormat/>
    <w:rsid w:val="002D6304"/>
    <w:pPr>
      <w:ind w:left="720"/>
      <w:contextualSpacing/>
    </w:pPr>
  </w:style>
  <w:style w:type="paragraph" w:styleId="FootnoteText">
    <w:name w:val="footnote text"/>
    <w:basedOn w:val="Normal"/>
    <w:link w:val="FootnoteTextChar"/>
    <w:uiPriority w:val="99"/>
    <w:semiHidden/>
    <w:unhideWhenUsed/>
    <w:rsid w:val="004D27EC"/>
    <w:pPr>
      <w:spacing w:line="240" w:lineRule="auto"/>
    </w:pPr>
    <w:rPr>
      <w:sz w:val="20"/>
      <w:szCs w:val="20"/>
    </w:rPr>
  </w:style>
  <w:style w:type="character" w:customStyle="1" w:styleId="FootnoteTextChar">
    <w:name w:val="Footnote Text Char"/>
    <w:basedOn w:val="DefaultParagraphFont"/>
    <w:link w:val="FootnoteText"/>
    <w:uiPriority w:val="99"/>
    <w:semiHidden/>
    <w:rsid w:val="004D27EC"/>
    <w:rPr>
      <w:sz w:val="20"/>
      <w:szCs w:val="20"/>
    </w:rPr>
  </w:style>
  <w:style w:type="character" w:styleId="FootnoteReference">
    <w:name w:val="footnote reference"/>
    <w:basedOn w:val="DefaultParagraphFont"/>
    <w:uiPriority w:val="99"/>
    <w:semiHidden/>
    <w:unhideWhenUsed/>
    <w:rsid w:val="004D27EC"/>
    <w:rPr>
      <w:vertAlign w:val="superscript"/>
    </w:rPr>
  </w:style>
  <w:style w:type="paragraph" w:customStyle="1" w:styleId="Default">
    <w:name w:val="Default"/>
    <w:rsid w:val="00B95BDA"/>
    <w:pPr>
      <w:autoSpaceDE w:val="0"/>
      <w:autoSpaceDN w:val="0"/>
      <w:adjustRightInd w:val="0"/>
      <w:spacing w:line="240" w:lineRule="auto"/>
    </w:pPr>
    <w:rPr>
      <w:color w:val="000000"/>
      <w:lang w:val="en-CA"/>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044E0"/>
    <w:rPr>
      <w:b/>
      <w:bCs/>
    </w:rPr>
  </w:style>
  <w:style w:type="character" w:customStyle="1" w:styleId="CommentSubjectChar">
    <w:name w:val="Comment Subject Char"/>
    <w:basedOn w:val="CommentTextChar"/>
    <w:link w:val="CommentSubject"/>
    <w:uiPriority w:val="99"/>
    <w:semiHidden/>
    <w:rsid w:val="007044E0"/>
    <w:rPr>
      <w:b/>
      <w:bCs/>
      <w:sz w:val="20"/>
      <w:szCs w:val="20"/>
    </w:rPr>
  </w:style>
  <w:style w:type="character" w:customStyle="1" w:styleId="sslistlabel">
    <w:name w:val="ss_listlabel"/>
    <w:basedOn w:val="DefaultParagraphFont"/>
    <w:rsid w:val="00FC7D86"/>
  </w:style>
  <w:style w:type="character" w:customStyle="1" w:styleId="sslistitemcontent">
    <w:name w:val="ss_listitemcontent"/>
    <w:basedOn w:val="DefaultParagraphFont"/>
    <w:rsid w:val="00FC7D86"/>
  </w:style>
  <w:style w:type="character" w:styleId="UnresolvedMention">
    <w:name w:val="Unresolved Mention"/>
    <w:basedOn w:val="DefaultParagraphFont"/>
    <w:uiPriority w:val="99"/>
    <w:semiHidden/>
    <w:unhideWhenUsed/>
    <w:rsid w:val="002C7458"/>
    <w:rPr>
      <w:color w:val="605E5C"/>
      <w:shd w:val="clear" w:color="auto" w:fill="E1DFDD"/>
    </w:rPr>
  </w:style>
  <w:style w:type="paragraph" w:styleId="Revision">
    <w:name w:val="Revision"/>
    <w:hidden/>
    <w:uiPriority w:val="99"/>
    <w:semiHidden/>
    <w:rsid w:val="00B20809"/>
    <w:pPr>
      <w:spacing w:line="240" w:lineRule="auto"/>
    </w:pPr>
  </w:style>
  <w:style w:type="character" w:customStyle="1" w:styleId="normaltextrun">
    <w:name w:val="normaltextrun"/>
    <w:basedOn w:val="DefaultParagraphFont"/>
    <w:rsid w:val="00FB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81993">
      <w:bodyDiv w:val="1"/>
      <w:marLeft w:val="0"/>
      <w:marRight w:val="0"/>
      <w:marTop w:val="0"/>
      <w:marBottom w:val="0"/>
      <w:divBdr>
        <w:top w:val="none" w:sz="0" w:space="0" w:color="auto"/>
        <w:left w:val="none" w:sz="0" w:space="0" w:color="auto"/>
        <w:bottom w:val="none" w:sz="0" w:space="0" w:color="auto"/>
        <w:right w:val="none" w:sz="0" w:space="0" w:color="auto"/>
      </w:divBdr>
    </w:div>
    <w:div w:id="532110279">
      <w:bodyDiv w:val="1"/>
      <w:marLeft w:val="0"/>
      <w:marRight w:val="0"/>
      <w:marTop w:val="0"/>
      <w:marBottom w:val="0"/>
      <w:divBdr>
        <w:top w:val="none" w:sz="0" w:space="0" w:color="auto"/>
        <w:left w:val="none" w:sz="0" w:space="0" w:color="auto"/>
        <w:bottom w:val="none" w:sz="0" w:space="0" w:color="auto"/>
        <w:right w:val="none" w:sz="0" w:space="0" w:color="auto"/>
      </w:divBdr>
    </w:div>
    <w:div w:id="553470691">
      <w:bodyDiv w:val="1"/>
      <w:marLeft w:val="0"/>
      <w:marRight w:val="0"/>
      <w:marTop w:val="0"/>
      <w:marBottom w:val="0"/>
      <w:divBdr>
        <w:top w:val="none" w:sz="0" w:space="0" w:color="auto"/>
        <w:left w:val="none" w:sz="0" w:space="0" w:color="auto"/>
        <w:bottom w:val="none" w:sz="0" w:space="0" w:color="auto"/>
        <w:right w:val="none" w:sz="0" w:space="0" w:color="auto"/>
      </w:divBdr>
    </w:div>
    <w:div w:id="616450651">
      <w:bodyDiv w:val="1"/>
      <w:marLeft w:val="0"/>
      <w:marRight w:val="0"/>
      <w:marTop w:val="0"/>
      <w:marBottom w:val="0"/>
      <w:divBdr>
        <w:top w:val="none" w:sz="0" w:space="0" w:color="auto"/>
        <w:left w:val="none" w:sz="0" w:space="0" w:color="auto"/>
        <w:bottom w:val="none" w:sz="0" w:space="0" w:color="auto"/>
        <w:right w:val="none" w:sz="0" w:space="0" w:color="auto"/>
      </w:divBdr>
    </w:div>
    <w:div w:id="755907294">
      <w:bodyDiv w:val="1"/>
      <w:marLeft w:val="0"/>
      <w:marRight w:val="0"/>
      <w:marTop w:val="0"/>
      <w:marBottom w:val="0"/>
      <w:divBdr>
        <w:top w:val="none" w:sz="0" w:space="0" w:color="auto"/>
        <w:left w:val="none" w:sz="0" w:space="0" w:color="auto"/>
        <w:bottom w:val="none" w:sz="0" w:space="0" w:color="auto"/>
        <w:right w:val="none" w:sz="0" w:space="0" w:color="auto"/>
      </w:divBdr>
    </w:div>
    <w:div w:id="768308198">
      <w:bodyDiv w:val="1"/>
      <w:marLeft w:val="0"/>
      <w:marRight w:val="0"/>
      <w:marTop w:val="0"/>
      <w:marBottom w:val="0"/>
      <w:divBdr>
        <w:top w:val="none" w:sz="0" w:space="0" w:color="auto"/>
        <w:left w:val="none" w:sz="0" w:space="0" w:color="auto"/>
        <w:bottom w:val="none" w:sz="0" w:space="0" w:color="auto"/>
        <w:right w:val="none" w:sz="0" w:space="0" w:color="auto"/>
      </w:divBdr>
    </w:div>
    <w:div w:id="1141770025">
      <w:bodyDiv w:val="1"/>
      <w:marLeft w:val="0"/>
      <w:marRight w:val="0"/>
      <w:marTop w:val="0"/>
      <w:marBottom w:val="0"/>
      <w:divBdr>
        <w:top w:val="none" w:sz="0" w:space="0" w:color="auto"/>
        <w:left w:val="none" w:sz="0" w:space="0" w:color="auto"/>
        <w:bottom w:val="none" w:sz="0" w:space="0" w:color="auto"/>
        <w:right w:val="none" w:sz="0" w:space="0" w:color="auto"/>
      </w:divBdr>
    </w:div>
    <w:div w:id="1201822609">
      <w:bodyDiv w:val="1"/>
      <w:marLeft w:val="0"/>
      <w:marRight w:val="0"/>
      <w:marTop w:val="0"/>
      <w:marBottom w:val="0"/>
      <w:divBdr>
        <w:top w:val="none" w:sz="0" w:space="0" w:color="auto"/>
        <w:left w:val="none" w:sz="0" w:space="0" w:color="auto"/>
        <w:bottom w:val="none" w:sz="0" w:space="0" w:color="auto"/>
        <w:right w:val="none" w:sz="0" w:space="0" w:color="auto"/>
      </w:divBdr>
    </w:div>
    <w:div w:id="1703088956">
      <w:bodyDiv w:val="1"/>
      <w:marLeft w:val="0"/>
      <w:marRight w:val="0"/>
      <w:marTop w:val="0"/>
      <w:marBottom w:val="0"/>
      <w:divBdr>
        <w:top w:val="none" w:sz="0" w:space="0" w:color="auto"/>
        <w:left w:val="none" w:sz="0" w:space="0" w:color="auto"/>
        <w:bottom w:val="none" w:sz="0" w:space="0" w:color="auto"/>
        <w:right w:val="none" w:sz="0" w:space="0" w:color="auto"/>
      </w:divBdr>
    </w:div>
    <w:div w:id="2055080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03E9-8EEA-49B6-90B2-2211B99E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8993</Words>
  <Characters>51266</Characters>
  <Application>Microsoft Office Word</Application>
  <DocSecurity>0</DocSecurity>
  <Lines>427</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Hoste Arnaud</dc:creator>
  <cp:keywords/>
  <cp:lastModifiedBy>Leah Cummings</cp:lastModifiedBy>
  <cp:revision>2</cp:revision>
  <dcterms:created xsi:type="dcterms:W3CDTF">2022-10-31T14:36:00Z</dcterms:created>
  <dcterms:modified xsi:type="dcterms:W3CDTF">2022-10-31T14:36:00Z</dcterms:modified>
</cp:coreProperties>
</file>